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2A5B" w:rsidRPr="002E1E8F" w:rsidRDefault="00032A5B" w:rsidP="00032A5B">
      <w:pPr>
        <w:pStyle w:val="Title"/>
        <w:rPr>
          <w:sz w:val="44"/>
          <w:szCs w:val="44"/>
        </w:rPr>
      </w:pPr>
      <w:r w:rsidRPr="002E1E8F">
        <w:rPr>
          <w:sz w:val="44"/>
          <w:szCs w:val="44"/>
        </w:rPr>
        <w:t>CASEBOOK</w:t>
      </w:r>
    </w:p>
    <w:p w:rsidR="00032A5B" w:rsidRDefault="00032A5B" w:rsidP="00032A5B">
      <w:pPr>
        <w:suppressAutoHyphens/>
        <w:jc w:val="center"/>
        <w:rPr>
          <w:b/>
          <w:sz w:val="24"/>
        </w:rPr>
      </w:pPr>
    </w:p>
    <w:p w:rsidR="00032A5B" w:rsidRDefault="00032A5B" w:rsidP="00032A5B">
      <w:pPr>
        <w:suppressAutoHyphens/>
        <w:jc w:val="center"/>
        <w:rPr>
          <w:b/>
          <w:sz w:val="24"/>
        </w:rPr>
      </w:pPr>
    </w:p>
    <w:p w:rsidR="00032A5B" w:rsidRDefault="00032A5B" w:rsidP="00032A5B">
      <w:pPr>
        <w:suppressAutoHyphens/>
        <w:jc w:val="center"/>
        <w:rPr>
          <w:b/>
          <w:sz w:val="24"/>
        </w:rPr>
      </w:pPr>
    </w:p>
    <w:p w:rsidR="00032A5B" w:rsidRPr="00E128A8" w:rsidRDefault="00032A5B" w:rsidP="00032A5B">
      <w:pPr>
        <w:suppressAutoHyphens/>
        <w:jc w:val="center"/>
        <w:rPr>
          <w:sz w:val="24"/>
        </w:rPr>
      </w:pPr>
      <w:r w:rsidRPr="00E128A8">
        <w:rPr>
          <w:sz w:val="24"/>
        </w:rPr>
        <w:t>ACCT 350: BUSINESS LAW I</w:t>
      </w:r>
    </w:p>
    <w:p w:rsidR="00032A5B" w:rsidRDefault="00032A5B" w:rsidP="00032A5B">
      <w:pPr>
        <w:suppressAutoHyphens/>
        <w:jc w:val="center"/>
        <w:rPr>
          <w:sz w:val="24"/>
        </w:rPr>
      </w:pPr>
      <w:r>
        <w:rPr>
          <w:sz w:val="24"/>
        </w:rPr>
        <w:t>Department of Accounting</w:t>
      </w:r>
    </w:p>
    <w:p w:rsidR="00032A5B" w:rsidRDefault="00032A5B" w:rsidP="00032A5B">
      <w:pPr>
        <w:suppressAutoHyphens/>
        <w:jc w:val="center"/>
        <w:rPr>
          <w:sz w:val="24"/>
        </w:rPr>
      </w:pPr>
      <w:smartTag w:uri="urn:schemas-microsoft-com:office:smarttags" w:element="place">
        <w:smartTag w:uri="urn:schemas-microsoft-com:office:smarttags" w:element="PlaceType">
          <w:r>
            <w:rPr>
              <w:sz w:val="24"/>
            </w:rPr>
            <w:t>University</w:t>
          </w:r>
        </w:smartTag>
        <w:r>
          <w:rPr>
            <w:sz w:val="24"/>
          </w:rPr>
          <w:t xml:space="preserve"> of </w:t>
        </w:r>
        <w:smartTag w:uri="urn:schemas-microsoft-com:office:smarttags" w:element="PlaceName">
          <w:r>
            <w:rPr>
              <w:sz w:val="24"/>
            </w:rPr>
            <w:t>Delaware</w:t>
          </w:r>
        </w:smartTag>
      </w:smartTag>
    </w:p>
    <w:p w:rsidR="00032A5B" w:rsidRDefault="00032A5B" w:rsidP="00032A5B">
      <w:pPr>
        <w:suppressAutoHyphens/>
        <w:jc w:val="center"/>
        <w:rPr>
          <w:sz w:val="24"/>
        </w:rPr>
      </w:pPr>
    </w:p>
    <w:p w:rsidR="00032A5B" w:rsidRDefault="00EB5ABF" w:rsidP="00032A5B">
      <w:pPr>
        <w:suppressAutoHyphens/>
        <w:jc w:val="center"/>
        <w:rPr>
          <w:sz w:val="24"/>
        </w:rPr>
      </w:pPr>
      <w:r>
        <w:rPr>
          <w:sz w:val="24"/>
        </w:rPr>
        <w:t>Spring 2017</w:t>
      </w:r>
    </w:p>
    <w:p w:rsidR="00032A5B" w:rsidRDefault="00032A5B" w:rsidP="00032A5B">
      <w:pPr>
        <w:suppressAutoHyphens/>
        <w:jc w:val="center"/>
        <w:rPr>
          <w:sz w:val="24"/>
        </w:rPr>
      </w:pPr>
    </w:p>
    <w:p w:rsidR="00032A5B" w:rsidRDefault="00032A5B" w:rsidP="00032A5B">
      <w:pPr>
        <w:suppressAutoHyphens/>
        <w:jc w:val="center"/>
        <w:rPr>
          <w:spacing w:val="-3"/>
          <w:sz w:val="24"/>
        </w:rPr>
      </w:pPr>
      <w:r>
        <w:rPr>
          <w:spacing w:val="-3"/>
          <w:sz w:val="24"/>
        </w:rPr>
        <w:t>© Sheldon D. Pollack</w:t>
      </w:r>
    </w:p>
    <w:p w:rsidR="00032A5B" w:rsidRDefault="00032A5B" w:rsidP="00032A5B">
      <w:pPr>
        <w:suppressAutoHyphens/>
        <w:jc w:val="center"/>
        <w:rPr>
          <w:spacing w:val="-3"/>
          <w:sz w:val="24"/>
        </w:rPr>
      </w:pPr>
    </w:p>
    <w:p w:rsidR="00032A5B" w:rsidRDefault="00032A5B" w:rsidP="00032A5B">
      <w:pPr>
        <w:suppressAutoHyphens/>
        <w:jc w:val="center"/>
        <w:rPr>
          <w:spacing w:val="-3"/>
          <w:sz w:val="18"/>
          <w:szCs w:val="18"/>
        </w:rPr>
      </w:pPr>
    </w:p>
    <w:p w:rsidR="00032A5B" w:rsidRPr="00967BE7" w:rsidRDefault="00032A5B" w:rsidP="00032A5B">
      <w:pPr>
        <w:suppressAutoHyphens/>
        <w:jc w:val="center"/>
        <w:rPr>
          <w:spacing w:val="-3"/>
          <w:sz w:val="16"/>
          <w:szCs w:val="16"/>
        </w:rPr>
      </w:pPr>
      <w:r w:rsidRPr="00967BE7">
        <w:rPr>
          <w:spacing w:val="-3"/>
          <w:sz w:val="16"/>
          <w:szCs w:val="16"/>
        </w:rPr>
        <w:t>revised:</w:t>
      </w:r>
      <w:r>
        <w:rPr>
          <w:spacing w:val="-3"/>
          <w:sz w:val="16"/>
          <w:szCs w:val="16"/>
        </w:rPr>
        <w:t xml:space="preserve"> </w:t>
      </w:r>
      <w:r w:rsidR="005D12B9">
        <w:rPr>
          <w:spacing w:val="-3"/>
          <w:sz w:val="16"/>
          <w:szCs w:val="16"/>
        </w:rPr>
        <w:t>3</w:t>
      </w:r>
      <w:r w:rsidRPr="00967BE7">
        <w:rPr>
          <w:spacing w:val="-3"/>
          <w:sz w:val="16"/>
          <w:szCs w:val="16"/>
        </w:rPr>
        <w:t>/</w:t>
      </w:r>
      <w:r w:rsidR="005D12B9">
        <w:rPr>
          <w:spacing w:val="-3"/>
          <w:sz w:val="16"/>
          <w:szCs w:val="16"/>
        </w:rPr>
        <w:t>1</w:t>
      </w:r>
      <w:r w:rsidRPr="00967BE7">
        <w:rPr>
          <w:spacing w:val="-3"/>
          <w:sz w:val="16"/>
          <w:szCs w:val="16"/>
        </w:rPr>
        <w:t>/1</w:t>
      </w:r>
      <w:r w:rsidR="000C7ACA">
        <w:rPr>
          <w:spacing w:val="-3"/>
          <w:sz w:val="16"/>
          <w:szCs w:val="16"/>
        </w:rPr>
        <w:t>7</w:t>
      </w:r>
    </w:p>
    <w:p w:rsidR="00032A5B" w:rsidRPr="00D8074A" w:rsidRDefault="00032A5B" w:rsidP="00032A5B">
      <w:pPr>
        <w:suppressAutoHyphens/>
        <w:jc w:val="center"/>
        <w:rPr>
          <w:spacing w:val="-3"/>
          <w:sz w:val="18"/>
          <w:szCs w:val="18"/>
        </w:rPr>
      </w:pPr>
    </w:p>
    <w:p w:rsidR="00064C4B" w:rsidRPr="0057508E" w:rsidRDefault="00032A5B" w:rsidP="00064C4B">
      <w:pPr>
        <w:jc w:val="center"/>
        <w:rPr>
          <w:b/>
        </w:rPr>
      </w:pPr>
      <w:r>
        <w:rPr>
          <w:b/>
        </w:rPr>
        <w:br w:type="page"/>
      </w:r>
      <w:r w:rsidR="00064C4B" w:rsidRPr="0057508E">
        <w:rPr>
          <w:b/>
        </w:rPr>
        <w:lastRenderedPageBreak/>
        <w:t>Table of Contents</w:t>
      </w:r>
    </w:p>
    <w:p w:rsidR="00064C4B" w:rsidRDefault="00064C4B" w:rsidP="00064C4B"/>
    <w:p w:rsidR="00064C4B" w:rsidRDefault="00064C4B" w:rsidP="00064C4B"/>
    <w:p w:rsidR="00064C4B" w:rsidRPr="000C460C" w:rsidRDefault="00064C4B" w:rsidP="00064C4B">
      <w:pPr>
        <w:numPr>
          <w:ilvl w:val="0"/>
          <w:numId w:val="1"/>
        </w:numPr>
        <w:rPr>
          <w:color w:val="000000"/>
        </w:rPr>
      </w:pPr>
      <w:r w:rsidRPr="000C460C">
        <w:rPr>
          <w:color w:val="000000"/>
        </w:rPr>
        <w:t>Jurisdiction of the Courts</w:t>
      </w:r>
    </w:p>
    <w:p w:rsidR="00064C4B" w:rsidRPr="000C460C" w:rsidRDefault="00064C4B" w:rsidP="00064C4B">
      <w:pPr>
        <w:ind w:left="720" w:firstLine="720"/>
        <w:rPr>
          <w:color w:val="000000"/>
        </w:rPr>
      </w:pPr>
      <w:r w:rsidRPr="000C460C">
        <w:rPr>
          <w:color w:val="000000"/>
        </w:rPr>
        <w:t>Sierra Club v. Morton</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4</w:t>
      </w:r>
    </w:p>
    <w:p w:rsidR="00064C4B" w:rsidRPr="000C460C" w:rsidRDefault="00064C4B" w:rsidP="00064C4B">
      <w:pPr>
        <w:ind w:left="720" w:firstLine="720"/>
        <w:rPr>
          <w:color w:val="000000"/>
        </w:rPr>
      </w:pPr>
      <w:r w:rsidRPr="000C460C">
        <w:rPr>
          <w:color w:val="000000"/>
        </w:rPr>
        <w:t>World-Wide Volkswagen Corp v. Woodson</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w:t>
      </w:r>
      <w:r>
        <w:rPr>
          <w:color w:val="000000"/>
        </w:rPr>
        <w:t xml:space="preserve">  7</w:t>
      </w:r>
    </w:p>
    <w:p w:rsidR="00064C4B" w:rsidRPr="000C460C" w:rsidRDefault="00064C4B" w:rsidP="00064C4B">
      <w:pPr>
        <w:ind w:left="720" w:firstLine="720"/>
        <w:rPr>
          <w:color w:val="000000"/>
        </w:rPr>
      </w:pPr>
      <w:r w:rsidRPr="000C460C">
        <w:rPr>
          <w:color w:val="000000"/>
        </w:rPr>
        <w:t>Carnival Cruise v. Shute</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Pr>
          <w:color w:val="000000"/>
        </w:rPr>
        <w:tab/>
      </w:r>
      <w:r>
        <w:rPr>
          <w:color w:val="000000"/>
        </w:rPr>
        <w:tab/>
      </w:r>
      <w:r w:rsidRPr="000C460C">
        <w:rPr>
          <w:color w:val="000000"/>
        </w:rPr>
        <w:t xml:space="preserve"> </w:t>
      </w:r>
      <w:r>
        <w:rPr>
          <w:color w:val="000000"/>
        </w:rPr>
        <w:t>10</w:t>
      </w:r>
    </w:p>
    <w:p w:rsidR="00064C4B" w:rsidRPr="000C460C" w:rsidRDefault="00064C4B" w:rsidP="00064C4B">
      <w:pPr>
        <w:ind w:left="720" w:firstLine="720"/>
        <w:rPr>
          <w:color w:val="000000"/>
        </w:rPr>
      </w:pPr>
      <w:smartTag w:uri="urn:schemas-microsoft-com:office:smarttags" w:element="place">
        <w:smartTag w:uri="urn:schemas-microsoft-com:office:smarttags" w:element="City">
          <w:r w:rsidRPr="000C460C">
            <w:rPr>
              <w:color w:val="000000"/>
            </w:rPr>
            <w:t>Erie</w:t>
          </w:r>
        </w:smartTag>
      </w:smartTag>
      <w:r w:rsidRPr="000C460C">
        <w:rPr>
          <w:color w:val="000000"/>
        </w:rPr>
        <w:t xml:space="preserve"> Railroad v. Tompkins</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13</w:t>
      </w:r>
    </w:p>
    <w:p w:rsidR="00064C4B" w:rsidRPr="000C460C" w:rsidRDefault="00064C4B" w:rsidP="00064C4B">
      <w:pPr>
        <w:ind w:left="720" w:firstLine="720"/>
        <w:rPr>
          <w:color w:val="000000"/>
        </w:rPr>
      </w:pPr>
      <w:r w:rsidRPr="000C460C">
        <w:rPr>
          <w:color w:val="000000"/>
        </w:rPr>
        <w:t xml:space="preserve">Wendelken v. </w:t>
      </w:r>
      <w:smartTag w:uri="urn:schemas-microsoft-com:office:smarttags" w:element="place">
        <w:smartTag w:uri="urn:schemas-microsoft-com:office:smarttags" w:element="City">
          <w:r w:rsidRPr="000C460C">
            <w:rPr>
              <w:color w:val="000000"/>
            </w:rPr>
            <w:t>Superior</w:t>
          </w:r>
        </w:smartTag>
      </w:smartTag>
      <w:r w:rsidRPr="000C460C">
        <w:rPr>
          <w:color w:val="000000"/>
        </w:rPr>
        <w:t xml:space="preserve"> Court</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15</w:t>
      </w:r>
    </w:p>
    <w:p w:rsidR="00064C4B" w:rsidRPr="000C460C" w:rsidRDefault="00064C4B" w:rsidP="00064C4B">
      <w:pPr>
        <w:ind w:left="720" w:firstLine="720"/>
        <w:rPr>
          <w:color w:val="000000"/>
        </w:rPr>
      </w:pPr>
      <w:r w:rsidRPr="000C460C">
        <w:rPr>
          <w:color w:val="000000"/>
        </w:rPr>
        <w:t>Ferolito v. Johnson &amp; Johnson</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18</w:t>
      </w:r>
    </w:p>
    <w:p w:rsidR="00064C4B" w:rsidRPr="000C460C" w:rsidRDefault="00064C4B" w:rsidP="00064C4B">
      <w:pPr>
        <w:rPr>
          <w:color w:val="000000"/>
        </w:rPr>
      </w:pPr>
    </w:p>
    <w:p w:rsidR="00064C4B" w:rsidRDefault="00064C4B" w:rsidP="00064C4B">
      <w:pPr>
        <w:numPr>
          <w:ilvl w:val="0"/>
          <w:numId w:val="1"/>
        </w:numPr>
        <w:rPr>
          <w:color w:val="000000"/>
        </w:rPr>
      </w:pPr>
      <w:r>
        <w:rPr>
          <w:color w:val="000000"/>
        </w:rPr>
        <w:t>Constitutional Law</w:t>
      </w:r>
    </w:p>
    <w:p w:rsidR="00064C4B" w:rsidRDefault="00064C4B" w:rsidP="00064C4B">
      <w:pPr>
        <w:ind w:left="1440"/>
        <w:rPr>
          <w:color w:val="000000"/>
        </w:rPr>
      </w:pPr>
      <w:r>
        <w:rPr>
          <w:color w:val="000000"/>
        </w:rPr>
        <w:t>U.S. v. Darby</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21</w:t>
      </w:r>
    </w:p>
    <w:p w:rsidR="00064C4B" w:rsidRDefault="00064C4B" w:rsidP="00064C4B">
      <w:pPr>
        <w:ind w:left="1440"/>
        <w:rPr>
          <w:color w:val="000000"/>
        </w:rPr>
      </w:pPr>
      <w:r>
        <w:rPr>
          <w:color w:val="000000"/>
        </w:rPr>
        <w:t>U.S. v. Lopez</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24</w:t>
      </w:r>
    </w:p>
    <w:p w:rsidR="00064C4B" w:rsidRDefault="00064C4B" w:rsidP="00064C4B">
      <w:pPr>
        <w:ind w:left="1440"/>
        <w:rPr>
          <w:color w:val="000000"/>
        </w:rPr>
      </w:pPr>
      <w:r>
        <w:rPr>
          <w:color w:val="000000"/>
        </w:rPr>
        <w:t>Cohen v. California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27</w:t>
      </w:r>
    </w:p>
    <w:p w:rsidR="00064C4B" w:rsidRDefault="00064C4B" w:rsidP="00064C4B">
      <w:pPr>
        <w:rPr>
          <w:color w:val="000000"/>
        </w:rPr>
      </w:pPr>
    </w:p>
    <w:p w:rsidR="00064C4B" w:rsidRPr="00012EFF" w:rsidRDefault="00064C4B" w:rsidP="00064C4B">
      <w:pPr>
        <w:numPr>
          <w:ilvl w:val="0"/>
          <w:numId w:val="1"/>
        </w:numPr>
        <w:rPr>
          <w:color w:val="000000"/>
        </w:rPr>
      </w:pPr>
      <w:r w:rsidRPr="00012EFF">
        <w:rPr>
          <w:color w:val="000000"/>
        </w:rPr>
        <w:t>Intentional Torts</w:t>
      </w:r>
    </w:p>
    <w:p w:rsidR="00064C4B" w:rsidRDefault="00064C4B" w:rsidP="00064C4B">
      <w:pPr>
        <w:ind w:left="720" w:firstLine="720"/>
        <w:rPr>
          <w:color w:val="000000"/>
        </w:rPr>
      </w:pPr>
      <w:r>
        <w:rPr>
          <w:color w:val="000000"/>
        </w:rPr>
        <w:t>Wal-Mart v. Cockrell</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32</w:t>
      </w:r>
    </w:p>
    <w:p w:rsidR="00064C4B" w:rsidRDefault="00064C4B" w:rsidP="00064C4B">
      <w:pPr>
        <w:ind w:left="720" w:firstLine="720"/>
        <w:rPr>
          <w:color w:val="000000"/>
        </w:rPr>
      </w:pPr>
      <w:r>
        <w:rPr>
          <w:color w:val="000000"/>
        </w:rPr>
        <w:t>Perna v. Pirozzi</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35</w:t>
      </w:r>
    </w:p>
    <w:p w:rsidR="00064C4B" w:rsidRDefault="00064C4B" w:rsidP="00064C4B">
      <w:pPr>
        <w:ind w:left="720" w:firstLine="720"/>
        <w:rPr>
          <w:color w:val="000000"/>
        </w:rPr>
      </w:pPr>
      <w:r w:rsidRPr="000C460C">
        <w:rPr>
          <w:color w:val="000000"/>
        </w:rPr>
        <w:t>Hustler Magazine &amp; Larry C. Flynt v. Falwell</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w:t>
      </w:r>
      <w:r>
        <w:rPr>
          <w:color w:val="000000"/>
        </w:rPr>
        <w:t>38</w:t>
      </w:r>
    </w:p>
    <w:p w:rsidR="00064C4B" w:rsidRPr="00572336" w:rsidRDefault="00064C4B" w:rsidP="00064C4B">
      <w:pPr>
        <w:ind w:left="720" w:firstLine="720"/>
      </w:pPr>
      <w:r>
        <w:t>Roach v. Stern</w:t>
      </w:r>
      <w:r>
        <w:tab/>
      </w:r>
      <w:r>
        <w:tab/>
      </w:r>
      <w:r>
        <w:tab/>
      </w:r>
      <w:r>
        <w:tab/>
      </w:r>
      <w:r>
        <w:tab/>
      </w:r>
      <w:r>
        <w:tab/>
      </w:r>
      <w:r>
        <w:tab/>
      </w:r>
      <w:r>
        <w:tab/>
      </w:r>
      <w:r>
        <w:tab/>
        <w:t xml:space="preserve"> 41</w:t>
      </w:r>
    </w:p>
    <w:p w:rsidR="00064C4B" w:rsidRPr="000C460C" w:rsidRDefault="00064C4B" w:rsidP="00064C4B">
      <w:pPr>
        <w:rPr>
          <w:color w:val="000000"/>
        </w:rPr>
      </w:pPr>
    </w:p>
    <w:p w:rsidR="00064C4B" w:rsidRPr="000C460C" w:rsidRDefault="00064C4B" w:rsidP="00064C4B">
      <w:pPr>
        <w:numPr>
          <w:ilvl w:val="0"/>
          <w:numId w:val="1"/>
        </w:numPr>
        <w:rPr>
          <w:color w:val="000000"/>
        </w:rPr>
      </w:pPr>
      <w:r w:rsidRPr="000C460C">
        <w:rPr>
          <w:color w:val="000000"/>
        </w:rPr>
        <w:t>Unintentional Torts</w:t>
      </w:r>
    </w:p>
    <w:p w:rsidR="00064C4B" w:rsidRPr="000C460C" w:rsidRDefault="00064C4B" w:rsidP="00064C4B">
      <w:pPr>
        <w:ind w:left="720" w:firstLine="720"/>
        <w:rPr>
          <w:color w:val="000000"/>
        </w:rPr>
      </w:pPr>
      <w:r w:rsidRPr="000C460C">
        <w:rPr>
          <w:color w:val="000000"/>
        </w:rPr>
        <w:t xml:space="preserve">Palsgraf v. </w:t>
      </w:r>
      <w:smartTag w:uri="urn:schemas-microsoft-com:office:smarttags" w:element="place">
        <w:r w:rsidRPr="000C460C">
          <w:rPr>
            <w:color w:val="000000"/>
          </w:rPr>
          <w:t>Long Island</w:t>
        </w:r>
      </w:smartTag>
      <w:r w:rsidRPr="000C460C">
        <w:rPr>
          <w:color w:val="000000"/>
        </w:rPr>
        <w:t xml:space="preserve"> Railroad</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w:t>
      </w:r>
      <w:r>
        <w:rPr>
          <w:color w:val="000000"/>
        </w:rPr>
        <w:t>46</w:t>
      </w:r>
    </w:p>
    <w:p w:rsidR="00064C4B" w:rsidRDefault="00064C4B" w:rsidP="00064C4B">
      <w:pPr>
        <w:ind w:left="720" w:firstLine="720"/>
        <w:rPr>
          <w:color w:val="000000"/>
          <w:spacing w:val="-3"/>
        </w:rPr>
      </w:pPr>
      <w:r>
        <w:rPr>
          <w:color w:val="000000"/>
          <w:spacing w:val="-3"/>
        </w:rPr>
        <w:t>James v. Meow Media</w:t>
      </w:r>
      <w:r>
        <w:rPr>
          <w:color w:val="000000"/>
        </w:rPr>
        <w:tab/>
      </w:r>
      <w:r>
        <w:rPr>
          <w:color w:val="000000"/>
        </w:rPr>
        <w:tab/>
      </w:r>
      <w:r>
        <w:rPr>
          <w:color w:val="000000"/>
        </w:rPr>
        <w:tab/>
      </w:r>
      <w:r>
        <w:rPr>
          <w:color w:val="000000"/>
        </w:rPr>
        <w:tab/>
      </w:r>
      <w:r>
        <w:rPr>
          <w:color w:val="000000"/>
        </w:rPr>
        <w:tab/>
      </w:r>
      <w:r w:rsidRPr="000C460C">
        <w:rPr>
          <w:color w:val="000000"/>
        </w:rPr>
        <w:tab/>
      </w:r>
      <w:r w:rsidRPr="000C460C">
        <w:rPr>
          <w:color w:val="000000"/>
        </w:rPr>
        <w:tab/>
      </w:r>
      <w:r w:rsidRPr="000C460C">
        <w:rPr>
          <w:color w:val="000000"/>
        </w:rPr>
        <w:tab/>
        <w:t xml:space="preserve"> </w:t>
      </w:r>
      <w:r>
        <w:rPr>
          <w:color w:val="000000"/>
        </w:rPr>
        <w:t>49</w:t>
      </w:r>
    </w:p>
    <w:p w:rsidR="00064C4B" w:rsidRPr="000C460C" w:rsidRDefault="00064C4B" w:rsidP="00064C4B">
      <w:pPr>
        <w:ind w:left="720" w:firstLine="720"/>
        <w:rPr>
          <w:color w:val="000000"/>
        </w:rPr>
      </w:pPr>
      <w:r w:rsidRPr="000C460C">
        <w:rPr>
          <w:color w:val="000000"/>
          <w:spacing w:val="-3"/>
        </w:rPr>
        <w:t xml:space="preserve">Fischer v. </w:t>
      </w:r>
      <w:r w:rsidRPr="000C460C">
        <w:rPr>
          <w:color w:val="000000"/>
        </w:rPr>
        <w:t>Pepsi</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w:t>
      </w:r>
      <w:r>
        <w:rPr>
          <w:color w:val="000000"/>
        </w:rPr>
        <w:t>53</w:t>
      </w:r>
    </w:p>
    <w:p w:rsidR="00064C4B" w:rsidRPr="00436259" w:rsidRDefault="00064C4B" w:rsidP="00064C4B">
      <w:pPr>
        <w:ind w:left="720" w:firstLine="720"/>
        <w:rPr>
          <w:color w:val="000000"/>
        </w:rPr>
      </w:pPr>
      <w:r w:rsidRPr="00436259">
        <w:rPr>
          <w:color w:val="000000"/>
        </w:rPr>
        <w:t>Schick v. Ferolito</w:t>
      </w:r>
      <w:r w:rsidRPr="00436259">
        <w:rPr>
          <w:color w:val="000000"/>
        </w:rPr>
        <w:tab/>
      </w:r>
      <w:r w:rsidRPr="00436259">
        <w:rPr>
          <w:color w:val="000000"/>
        </w:rPr>
        <w:tab/>
      </w:r>
      <w:r w:rsidRPr="00436259">
        <w:rPr>
          <w:color w:val="000000"/>
        </w:rPr>
        <w:tab/>
      </w:r>
      <w:r w:rsidRPr="00436259">
        <w:rPr>
          <w:color w:val="000000"/>
        </w:rPr>
        <w:tab/>
      </w:r>
      <w:r w:rsidRPr="00436259">
        <w:rPr>
          <w:color w:val="000000"/>
        </w:rPr>
        <w:tab/>
      </w:r>
      <w:r w:rsidRPr="00436259">
        <w:rPr>
          <w:color w:val="000000"/>
        </w:rPr>
        <w:tab/>
      </w:r>
      <w:r w:rsidRPr="00436259">
        <w:rPr>
          <w:color w:val="000000"/>
        </w:rPr>
        <w:tab/>
      </w:r>
      <w:r w:rsidRPr="00436259">
        <w:rPr>
          <w:color w:val="000000"/>
        </w:rPr>
        <w:tab/>
      </w:r>
      <w:r w:rsidRPr="00436259">
        <w:rPr>
          <w:color w:val="000000"/>
        </w:rPr>
        <w:tab/>
        <w:t xml:space="preserve"> </w:t>
      </w:r>
      <w:r>
        <w:rPr>
          <w:color w:val="000000"/>
        </w:rPr>
        <w:t>55</w:t>
      </w:r>
    </w:p>
    <w:p w:rsidR="00064C4B" w:rsidRPr="00436259" w:rsidRDefault="00064C4B" w:rsidP="00064C4B">
      <w:pPr>
        <w:ind w:left="720" w:firstLine="720"/>
        <w:rPr>
          <w:color w:val="000000"/>
        </w:rPr>
      </w:pPr>
      <w:r w:rsidRPr="00436259">
        <w:rPr>
          <w:spacing w:val="-3"/>
        </w:rPr>
        <w:t>Lilya v. Greater Gulf State Fair</w:t>
      </w:r>
      <w:r w:rsidRPr="00436259">
        <w:rPr>
          <w:color w:val="000000"/>
        </w:rPr>
        <w:tab/>
      </w:r>
      <w:r w:rsidRPr="00436259">
        <w:rPr>
          <w:color w:val="000000"/>
        </w:rPr>
        <w:tab/>
      </w:r>
      <w:r w:rsidRPr="00436259">
        <w:rPr>
          <w:color w:val="000000"/>
        </w:rPr>
        <w:tab/>
      </w:r>
      <w:r w:rsidRPr="00436259">
        <w:rPr>
          <w:color w:val="000000"/>
        </w:rPr>
        <w:tab/>
      </w:r>
      <w:r w:rsidRPr="00436259">
        <w:rPr>
          <w:color w:val="000000"/>
        </w:rPr>
        <w:tab/>
      </w:r>
      <w:r w:rsidRPr="00436259">
        <w:rPr>
          <w:color w:val="000000"/>
        </w:rPr>
        <w:tab/>
      </w:r>
      <w:r w:rsidRPr="00436259">
        <w:rPr>
          <w:color w:val="000000"/>
        </w:rPr>
        <w:tab/>
        <w:t xml:space="preserve"> </w:t>
      </w:r>
      <w:r>
        <w:rPr>
          <w:color w:val="000000"/>
        </w:rPr>
        <w:t>59</w:t>
      </w:r>
    </w:p>
    <w:p w:rsidR="00064C4B" w:rsidRPr="00436259" w:rsidRDefault="00064C4B" w:rsidP="00064C4B">
      <w:pPr>
        <w:rPr>
          <w:color w:val="000000"/>
        </w:rPr>
      </w:pPr>
    </w:p>
    <w:p w:rsidR="00064C4B" w:rsidRPr="000C460C" w:rsidRDefault="00064C4B" w:rsidP="00064C4B">
      <w:pPr>
        <w:numPr>
          <w:ilvl w:val="0"/>
          <w:numId w:val="1"/>
        </w:numPr>
        <w:rPr>
          <w:color w:val="000000"/>
        </w:rPr>
      </w:pPr>
      <w:r w:rsidRPr="000C460C">
        <w:rPr>
          <w:color w:val="000000"/>
        </w:rPr>
        <w:t>Product Liability</w:t>
      </w:r>
    </w:p>
    <w:p w:rsidR="00064C4B" w:rsidRDefault="00064C4B" w:rsidP="00064C4B">
      <w:pPr>
        <w:ind w:left="1440"/>
        <w:rPr>
          <w:color w:val="000000"/>
        </w:rPr>
      </w:pPr>
      <w:r>
        <w:rPr>
          <w:color w:val="000000"/>
        </w:rPr>
        <w:t>Shoshone Coca-Cola v. Dolinski</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w:t>
      </w:r>
      <w:r>
        <w:rPr>
          <w:color w:val="000000"/>
        </w:rPr>
        <w:t>6</w:t>
      </w:r>
      <w:r w:rsidR="00CB28AA">
        <w:rPr>
          <w:color w:val="000000"/>
        </w:rPr>
        <w:t>3</w:t>
      </w:r>
    </w:p>
    <w:p w:rsidR="00064C4B" w:rsidRDefault="00064C4B" w:rsidP="00064C4B">
      <w:pPr>
        <w:ind w:left="1440"/>
        <w:rPr>
          <w:color w:val="000000"/>
        </w:rPr>
      </w:pPr>
      <w:r w:rsidRPr="000C460C">
        <w:rPr>
          <w:color w:val="000000"/>
        </w:rPr>
        <w:t>Nowak v. Faberge</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w:t>
      </w:r>
      <w:r w:rsidR="00CB28AA">
        <w:rPr>
          <w:color w:val="000000"/>
        </w:rPr>
        <w:t>66</w:t>
      </w:r>
    </w:p>
    <w:p w:rsidR="00064C4B" w:rsidRPr="000C460C" w:rsidRDefault="00CB28AA" w:rsidP="00064C4B">
      <w:pPr>
        <w:ind w:left="1440"/>
        <w:rPr>
          <w:color w:val="000000"/>
        </w:rPr>
      </w:pPr>
      <w:r>
        <w:rPr>
          <w:color w:val="000000"/>
        </w:rPr>
        <w:t>Elsroth v. J&amp;J</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t xml:space="preserve"> 69</w:t>
      </w:r>
    </w:p>
    <w:p w:rsidR="00064C4B" w:rsidRPr="000C460C" w:rsidRDefault="00064C4B" w:rsidP="00064C4B">
      <w:pPr>
        <w:rPr>
          <w:color w:val="000000"/>
        </w:rPr>
      </w:pPr>
    </w:p>
    <w:p w:rsidR="00064C4B" w:rsidRDefault="00064C4B" w:rsidP="00064C4B">
      <w:pPr>
        <w:numPr>
          <w:ilvl w:val="0"/>
          <w:numId w:val="1"/>
        </w:numPr>
        <w:rPr>
          <w:color w:val="000000"/>
        </w:rPr>
      </w:pPr>
      <w:r w:rsidRPr="000C460C">
        <w:rPr>
          <w:color w:val="000000"/>
        </w:rPr>
        <w:t>Intellectual Property</w:t>
      </w:r>
    </w:p>
    <w:p w:rsidR="00064C4B" w:rsidRDefault="00064C4B" w:rsidP="00064C4B">
      <w:pPr>
        <w:ind w:left="1440"/>
        <w:rPr>
          <w:color w:val="000000"/>
        </w:rPr>
      </w:pPr>
      <w:r w:rsidRPr="00012EFF">
        <w:rPr>
          <w:color w:val="000000"/>
        </w:rPr>
        <w:t>V</w:t>
      </w:r>
      <w:r w:rsidR="00CB28AA">
        <w:rPr>
          <w:color w:val="000000"/>
        </w:rPr>
        <w:t>anna White v. Samsung</w:t>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 xml:space="preserve"> 74</w:t>
      </w:r>
    </w:p>
    <w:p w:rsidR="00064C4B" w:rsidRDefault="00064C4B" w:rsidP="00064C4B">
      <w:pPr>
        <w:ind w:left="1440"/>
        <w:rPr>
          <w:color w:val="000000"/>
        </w:rPr>
      </w:pPr>
      <w:r w:rsidRPr="000C460C">
        <w:rPr>
          <w:color w:val="000000"/>
        </w:rPr>
        <w:t>Saderu</w:t>
      </w:r>
      <w:r>
        <w:rPr>
          <w:color w:val="000000"/>
        </w:rPr>
        <w:t>p v. Comedy III Productions</w:t>
      </w:r>
      <w:r>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w:t>
      </w:r>
      <w:r w:rsidR="00CB28AA">
        <w:rPr>
          <w:color w:val="000000"/>
        </w:rPr>
        <w:t>77</w:t>
      </w:r>
    </w:p>
    <w:p w:rsidR="00064C4B" w:rsidRPr="000C460C" w:rsidRDefault="00064C4B" w:rsidP="00064C4B">
      <w:pPr>
        <w:ind w:left="1440"/>
        <w:rPr>
          <w:color w:val="000000"/>
        </w:rPr>
      </w:pPr>
      <w:r w:rsidRPr="000C460C">
        <w:rPr>
          <w:color w:val="000000"/>
        </w:rPr>
        <w:t>Campbell</w:t>
      </w:r>
      <w:r w:rsidR="00CB28AA">
        <w:rPr>
          <w:color w:val="000000"/>
        </w:rPr>
        <w:t xml:space="preserve"> v. Acuff-Rose Music</w:t>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 xml:space="preserve"> 81</w:t>
      </w:r>
    </w:p>
    <w:p w:rsidR="00064C4B" w:rsidRDefault="00064C4B" w:rsidP="00064C4B">
      <w:pPr>
        <w:ind w:left="1440"/>
        <w:rPr>
          <w:color w:val="000000"/>
        </w:rPr>
      </w:pPr>
      <w:r w:rsidRPr="000C460C">
        <w:rPr>
          <w:color w:val="000000"/>
          <w:spacing w:val="-3"/>
        </w:rPr>
        <w:t>Two Pesos v. Taco Cabana</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00CB28AA">
        <w:rPr>
          <w:color w:val="000000"/>
        </w:rPr>
        <w:tab/>
        <w:t xml:space="preserve"> 85</w:t>
      </w:r>
    </w:p>
    <w:p w:rsidR="00064C4B" w:rsidRDefault="00064C4B" w:rsidP="00064C4B">
      <w:pPr>
        <w:ind w:left="1440"/>
        <w:rPr>
          <w:color w:val="000000"/>
        </w:rPr>
      </w:pPr>
      <w:r>
        <w:rPr>
          <w:color w:val="000000"/>
        </w:rPr>
        <w:t>Ty, Inc. v. GMA</w:t>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Pr>
          <w:color w:val="000000"/>
        </w:rPr>
        <w:tab/>
      </w:r>
      <w:r w:rsidR="00CB28AA">
        <w:rPr>
          <w:color w:val="000000"/>
        </w:rPr>
        <w:t xml:space="preserve"> 87</w:t>
      </w:r>
    </w:p>
    <w:p w:rsidR="00064C4B" w:rsidRPr="000C460C" w:rsidRDefault="00064C4B" w:rsidP="00064C4B">
      <w:pPr>
        <w:ind w:left="1440"/>
        <w:rPr>
          <w:color w:val="000000"/>
        </w:rPr>
      </w:pPr>
      <w:r>
        <w:rPr>
          <w:color w:val="000000"/>
        </w:rPr>
        <w:t>Victor</w:t>
      </w:r>
      <w:r w:rsidR="00CB28AA">
        <w:rPr>
          <w:color w:val="000000"/>
        </w:rPr>
        <w:t>ia’s Secret v. Moseley</w:t>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 xml:space="preserve"> 91</w:t>
      </w:r>
    </w:p>
    <w:p w:rsidR="00064C4B" w:rsidRPr="000C460C" w:rsidRDefault="00064C4B" w:rsidP="00064C4B">
      <w:pPr>
        <w:rPr>
          <w:color w:val="000000"/>
        </w:rPr>
      </w:pPr>
    </w:p>
    <w:p w:rsidR="00064C4B" w:rsidRPr="000C460C" w:rsidRDefault="00064C4B" w:rsidP="00064C4B">
      <w:pPr>
        <w:numPr>
          <w:ilvl w:val="0"/>
          <w:numId w:val="1"/>
        </w:numPr>
        <w:rPr>
          <w:color w:val="000000"/>
        </w:rPr>
      </w:pPr>
      <w:r w:rsidRPr="000C460C">
        <w:rPr>
          <w:color w:val="000000"/>
        </w:rPr>
        <w:t>Contract Law</w:t>
      </w:r>
    </w:p>
    <w:p w:rsidR="00064C4B" w:rsidRPr="000C460C" w:rsidRDefault="00064C4B" w:rsidP="00064C4B">
      <w:pPr>
        <w:ind w:left="720" w:firstLine="720"/>
        <w:rPr>
          <w:color w:val="000000"/>
        </w:rPr>
      </w:pPr>
      <w:r w:rsidRPr="000C460C">
        <w:rPr>
          <w:color w:val="000000"/>
        </w:rPr>
        <w:t>Dines v. Liberty Mutual Insurance Co.</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t xml:space="preserve"> </w:t>
      </w:r>
      <w:r w:rsidR="00CB28AA">
        <w:rPr>
          <w:color w:val="000000"/>
        </w:rPr>
        <w:t>96</w:t>
      </w:r>
    </w:p>
    <w:p w:rsidR="00064C4B" w:rsidRDefault="00064C4B" w:rsidP="00064C4B">
      <w:pPr>
        <w:ind w:left="720" w:firstLine="720"/>
        <w:rPr>
          <w:color w:val="000000"/>
        </w:rPr>
      </w:pPr>
      <w:r>
        <w:rPr>
          <w:color w:val="000000"/>
        </w:rPr>
        <w:t>Lucy v. Zehmer</w:t>
      </w:r>
      <w:r w:rsidRPr="000C460C">
        <w:rPr>
          <w:color w:val="000000"/>
        </w:rPr>
        <w:tab/>
      </w:r>
      <w:r w:rsidRPr="000C460C">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 xml:space="preserve"> 98</w:t>
      </w:r>
    </w:p>
    <w:p w:rsidR="00064C4B" w:rsidRDefault="00064C4B" w:rsidP="00064C4B">
      <w:pPr>
        <w:ind w:left="720" w:firstLine="720"/>
        <w:rPr>
          <w:color w:val="000000"/>
        </w:rPr>
      </w:pPr>
      <w:r w:rsidRPr="000C460C">
        <w:rPr>
          <w:color w:val="000000"/>
        </w:rPr>
        <w:t xml:space="preserve">City of </w:t>
      </w:r>
      <w:smartTag w:uri="urn:schemas-microsoft-com:office:smarttags" w:element="place">
        <w:smartTag w:uri="urn:schemas-microsoft-com:office:smarttags" w:element="City">
          <w:r w:rsidRPr="000C460C">
            <w:rPr>
              <w:color w:val="000000"/>
            </w:rPr>
            <w:t>Everett</w:t>
          </w:r>
        </w:smartTag>
      </w:smartTag>
      <w:r w:rsidRPr="000C460C">
        <w:rPr>
          <w:color w:val="000000"/>
        </w:rPr>
        <w:t xml:space="preserve"> v. Mitchell</w:t>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101</w:t>
      </w:r>
    </w:p>
    <w:p w:rsidR="00064C4B" w:rsidRDefault="00064C4B" w:rsidP="00064C4B">
      <w:pPr>
        <w:ind w:left="720" w:firstLine="720"/>
        <w:rPr>
          <w:color w:val="000000"/>
        </w:rPr>
      </w:pPr>
      <w:r w:rsidRPr="000C460C">
        <w:rPr>
          <w:color w:val="000000"/>
        </w:rPr>
        <w:t>Lefkowitz v. Great Minneapolis Store, Inc.</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00CB28AA">
        <w:rPr>
          <w:color w:val="000000"/>
        </w:rPr>
        <w:t>103</w:t>
      </w:r>
    </w:p>
    <w:p w:rsidR="00064C4B" w:rsidRPr="000C460C" w:rsidRDefault="00064C4B" w:rsidP="00064C4B">
      <w:pPr>
        <w:ind w:left="720" w:firstLine="720"/>
        <w:rPr>
          <w:color w:val="000000"/>
        </w:rPr>
      </w:pPr>
      <w:r w:rsidRPr="000C460C">
        <w:rPr>
          <w:color w:val="000000"/>
        </w:rPr>
        <w:t xml:space="preserve">Mesaros v. </w:t>
      </w:r>
      <w:smartTag w:uri="urn:schemas-microsoft-com:office:smarttags" w:element="place">
        <w:smartTag w:uri="urn:schemas-microsoft-com:office:smarttags" w:element="country-region">
          <w:r w:rsidRPr="000C460C">
            <w:rPr>
              <w:color w:val="000000"/>
            </w:rPr>
            <w:t>United States</w:t>
          </w:r>
        </w:smartTag>
      </w:smartTag>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Pr>
          <w:color w:val="000000"/>
        </w:rPr>
        <w:t>10</w:t>
      </w:r>
      <w:r w:rsidR="00CB28AA">
        <w:rPr>
          <w:color w:val="000000"/>
        </w:rPr>
        <w:t>5</w:t>
      </w:r>
    </w:p>
    <w:p w:rsidR="00064C4B" w:rsidRPr="000C460C" w:rsidRDefault="00064C4B" w:rsidP="00064C4B">
      <w:pPr>
        <w:ind w:left="720" w:firstLine="720"/>
        <w:rPr>
          <w:color w:val="000000"/>
        </w:rPr>
      </w:pPr>
      <w:r w:rsidRPr="000C460C">
        <w:rPr>
          <w:color w:val="000000"/>
        </w:rPr>
        <w:t>S</w:t>
      </w:r>
      <w:r w:rsidR="00CB28AA">
        <w:rPr>
          <w:color w:val="000000"/>
        </w:rPr>
        <w:t>oldau v. Organon Inc.</w:t>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108</w:t>
      </w:r>
    </w:p>
    <w:p w:rsidR="00064C4B" w:rsidRPr="000C460C" w:rsidRDefault="00064C4B" w:rsidP="00064C4B">
      <w:pPr>
        <w:ind w:left="720" w:firstLine="720"/>
        <w:rPr>
          <w:color w:val="000000"/>
        </w:rPr>
      </w:pPr>
      <w:r w:rsidRPr="000C460C">
        <w:rPr>
          <w:color w:val="000000"/>
        </w:rPr>
        <w:t>Alden v. Presley</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00CB28AA">
        <w:rPr>
          <w:color w:val="000000"/>
        </w:rPr>
        <w:t>109</w:t>
      </w:r>
    </w:p>
    <w:p w:rsidR="00064C4B" w:rsidRDefault="00064C4B" w:rsidP="00064C4B">
      <w:pPr>
        <w:ind w:left="720" w:firstLine="720"/>
        <w:rPr>
          <w:color w:val="000000"/>
        </w:rPr>
      </w:pPr>
      <w:r w:rsidRPr="000C460C">
        <w:rPr>
          <w:color w:val="000000"/>
        </w:rPr>
        <w:t>Hamer v. Sidway</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00CB28AA">
        <w:rPr>
          <w:color w:val="000000"/>
        </w:rPr>
        <w:t>112</w:t>
      </w:r>
    </w:p>
    <w:p w:rsidR="00064C4B" w:rsidRPr="000C460C" w:rsidRDefault="00064C4B" w:rsidP="00064C4B">
      <w:pPr>
        <w:ind w:left="720" w:firstLine="720"/>
        <w:rPr>
          <w:color w:val="000000"/>
        </w:rPr>
      </w:pPr>
      <w:r>
        <w:rPr>
          <w:color w:val="000000"/>
          <w:spacing w:val="-3"/>
        </w:rPr>
        <w:t>Cooper v. Smith</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00CB28AA">
        <w:rPr>
          <w:color w:val="000000"/>
        </w:rPr>
        <w:tab/>
      </w:r>
      <w:r w:rsidR="00CB28AA">
        <w:rPr>
          <w:color w:val="000000"/>
        </w:rPr>
        <w:tab/>
      </w:r>
      <w:r w:rsidR="00CB28AA">
        <w:rPr>
          <w:color w:val="000000"/>
        </w:rPr>
        <w:tab/>
        <w:t>115</w:t>
      </w:r>
    </w:p>
    <w:p w:rsidR="00064C4B" w:rsidRPr="0049298F" w:rsidRDefault="00064C4B" w:rsidP="00064C4B">
      <w:pPr>
        <w:ind w:left="720" w:firstLine="720"/>
        <w:rPr>
          <w:color w:val="000000"/>
        </w:rPr>
      </w:pPr>
      <w:r>
        <w:rPr>
          <w:color w:val="000000"/>
          <w:spacing w:val="-3"/>
        </w:rPr>
        <w:t>In re: Estate of Wirth</w:t>
      </w:r>
      <w:r w:rsidRPr="000C460C">
        <w:rPr>
          <w:color w:val="000000"/>
        </w:rPr>
        <w:tab/>
      </w:r>
      <w:r w:rsidRPr="000C460C">
        <w:rPr>
          <w:color w:val="000000"/>
        </w:rPr>
        <w:tab/>
      </w:r>
      <w:r w:rsidRPr="000C460C">
        <w:rPr>
          <w:color w:val="000000"/>
        </w:rPr>
        <w:tab/>
      </w:r>
      <w:r w:rsidRPr="000C460C">
        <w:rPr>
          <w:color w:val="000000"/>
        </w:rPr>
        <w:tab/>
      </w:r>
      <w:r w:rsidR="00CB28AA">
        <w:rPr>
          <w:color w:val="000000"/>
        </w:rPr>
        <w:tab/>
      </w:r>
      <w:r w:rsidR="00CB28AA">
        <w:rPr>
          <w:color w:val="000000"/>
        </w:rPr>
        <w:tab/>
      </w:r>
      <w:r w:rsidR="00CB28AA">
        <w:rPr>
          <w:color w:val="000000"/>
        </w:rPr>
        <w:tab/>
      </w:r>
      <w:r w:rsidR="00CB28AA">
        <w:rPr>
          <w:color w:val="000000"/>
        </w:rPr>
        <w:tab/>
        <w:t>118</w:t>
      </w:r>
    </w:p>
    <w:p w:rsidR="00064C4B" w:rsidRDefault="00064C4B" w:rsidP="00064C4B">
      <w:pPr>
        <w:ind w:left="720" w:firstLine="720"/>
        <w:rPr>
          <w:color w:val="000000"/>
          <w:spacing w:val="-3"/>
        </w:rPr>
      </w:pPr>
      <w:r w:rsidRPr="000C460C">
        <w:rPr>
          <w:color w:val="000000"/>
          <w:spacing w:val="-3"/>
        </w:rPr>
        <w:t>Jones v. Free Flight</w:t>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t>120</w:t>
      </w:r>
    </w:p>
    <w:p w:rsidR="00064C4B" w:rsidRDefault="00064C4B" w:rsidP="00064C4B">
      <w:pPr>
        <w:ind w:left="720" w:firstLine="720"/>
        <w:rPr>
          <w:color w:val="000000"/>
          <w:spacing w:val="-3"/>
        </w:rPr>
      </w:pPr>
      <w:r w:rsidRPr="000C460C">
        <w:rPr>
          <w:color w:val="000000"/>
          <w:spacing w:val="-3"/>
        </w:rPr>
        <w:t>Flood v. Fidelity</w:t>
      </w:r>
      <w:r w:rsidRPr="000C460C">
        <w:rPr>
          <w:color w:val="000000"/>
          <w:spacing w:val="-3"/>
        </w:rPr>
        <w:tab/>
      </w:r>
      <w:r w:rsidRPr="000C460C">
        <w:rPr>
          <w:color w:val="000000"/>
          <w:spacing w:val="-3"/>
        </w:rPr>
        <w:tab/>
      </w:r>
      <w:r w:rsidRPr="000C460C">
        <w:rPr>
          <w:color w:val="000000"/>
          <w:spacing w:val="-3"/>
        </w:rPr>
        <w:tab/>
      </w:r>
      <w:r w:rsidRPr="000C460C">
        <w:rPr>
          <w:color w:val="000000"/>
          <w:spacing w:val="-3"/>
        </w:rPr>
        <w:tab/>
      </w:r>
      <w:r w:rsidRPr="000C460C">
        <w:rPr>
          <w:color w:val="000000"/>
          <w:spacing w:val="-3"/>
        </w:rPr>
        <w:tab/>
      </w:r>
      <w:r w:rsidRPr="000C460C">
        <w:rPr>
          <w:color w:val="000000"/>
          <w:spacing w:val="-3"/>
        </w:rPr>
        <w:tab/>
      </w:r>
      <w:r w:rsidRPr="000C460C">
        <w:rPr>
          <w:color w:val="000000"/>
          <w:spacing w:val="-3"/>
        </w:rPr>
        <w:tab/>
      </w:r>
      <w:r w:rsidRPr="000C460C">
        <w:rPr>
          <w:color w:val="000000"/>
          <w:spacing w:val="-3"/>
        </w:rPr>
        <w:tab/>
      </w:r>
      <w:r w:rsidRPr="000C460C">
        <w:rPr>
          <w:color w:val="000000"/>
          <w:spacing w:val="-3"/>
        </w:rPr>
        <w:tab/>
      </w:r>
      <w:r w:rsidR="00CB28AA">
        <w:rPr>
          <w:color w:val="000000"/>
          <w:spacing w:val="-3"/>
        </w:rPr>
        <w:t>123</w:t>
      </w:r>
    </w:p>
    <w:p w:rsidR="00064C4B" w:rsidRDefault="00064C4B" w:rsidP="00064C4B">
      <w:pPr>
        <w:ind w:left="720" w:firstLine="720"/>
        <w:rPr>
          <w:color w:val="000000"/>
        </w:rPr>
      </w:pPr>
      <w:r w:rsidRPr="000C460C">
        <w:rPr>
          <w:color w:val="000000"/>
        </w:rPr>
        <w:lastRenderedPageBreak/>
        <w:t>Ryno v. Tyra</w:t>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Pr="000C460C">
        <w:rPr>
          <w:color w:val="000000"/>
        </w:rPr>
        <w:tab/>
      </w:r>
      <w:r w:rsidR="00CB28AA">
        <w:rPr>
          <w:color w:val="000000"/>
        </w:rPr>
        <w:t>126</w:t>
      </w:r>
    </w:p>
    <w:p w:rsidR="00064C4B" w:rsidRPr="0049298F" w:rsidRDefault="00064C4B" w:rsidP="00064C4B">
      <w:pPr>
        <w:ind w:left="720" w:firstLine="720"/>
        <w:rPr>
          <w:color w:val="000000"/>
        </w:rPr>
      </w:pPr>
      <w:r w:rsidRPr="0049298F">
        <w:rPr>
          <w:color w:val="000000"/>
        </w:rPr>
        <w:t>Zivich v. Mentor</w:t>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00CB28AA">
        <w:rPr>
          <w:color w:val="000000"/>
        </w:rPr>
        <w:t>128</w:t>
      </w:r>
    </w:p>
    <w:p w:rsidR="00064C4B" w:rsidRPr="0049298F" w:rsidRDefault="00064C4B" w:rsidP="00064C4B">
      <w:pPr>
        <w:ind w:left="720" w:firstLine="720"/>
        <w:rPr>
          <w:color w:val="FF0000"/>
          <w:spacing w:val="-3"/>
        </w:rPr>
      </w:pPr>
      <w:r w:rsidRPr="00151E58">
        <w:rPr>
          <w:color w:val="000000" w:themeColor="text1"/>
          <w:spacing w:val="-3"/>
        </w:rPr>
        <w:t>Krysa v. Payne</w:t>
      </w:r>
      <w:r w:rsidRPr="00151E58">
        <w:rPr>
          <w:color w:val="000000" w:themeColor="text1"/>
        </w:rPr>
        <w:tab/>
      </w:r>
      <w:r w:rsidRPr="00151E58">
        <w:rPr>
          <w:color w:val="000000" w:themeColor="text1"/>
        </w:rPr>
        <w:tab/>
      </w:r>
      <w:r w:rsidRPr="00151E58">
        <w:rPr>
          <w:color w:val="000000" w:themeColor="text1"/>
        </w:rPr>
        <w:tab/>
      </w:r>
      <w:r w:rsidRPr="00151E58">
        <w:rPr>
          <w:color w:val="000000" w:themeColor="text1"/>
        </w:rPr>
        <w:tab/>
      </w:r>
      <w:r w:rsidRPr="00151E58">
        <w:rPr>
          <w:color w:val="000000" w:themeColor="text1"/>
        </w:rPr>
        <w:tab/>
      </w:r>
      <w:r w:rsidRPr="00151E58">
        <w:rPr>
          <w:color w:val="000000" w:themeColor="text1"/>
        </w:rPr>
        <w:tab/>
      </w:r>
      <w:r w:rsidR="00CB28AA">
        <w:rPr>
          <w:color w:val="000000"/>
        </w:rPr>
        <w:tab/>
      </w:r>
      <w:r w:rsidR="00CB28AA">
        <w:rPr>
          <w:color w:val="000000"/>
        </w:rPr>
        <w:tab/>
      </w:r>
      <w:r w:rsidR="00CB28AA">
        <w:rPr>
          <w:color w:val="000000"/>
        </w:rPr>
        <w:tab/>
        <w:t>131</w:t>
      </w:r>
    </w:p>
    <w:p w:rsidR="00064C4B" w:rsidRPr="00A04A97" w:rsidRDefault="00064C4B" w:rsidP="00064C4B">
      <w:pPr>
        <w:ind w:left="720" w:firstLine="720"/>
        <w:rPr>
          <w:color w:val="000000" w:themeColor="text1"/>
          <w:spacing w:val="-3"/>
        </w:rPr>
      </w:pPr>
      <w:r w:rsidRPr="00A04A97">
        <w:rPr>
          <w:color w:val="000000" w:themeColor="text1"/>
          <w:spacing w:val="-3"/>
        </w:rPr>
        <w:t>Wells Fargo v. Martin</w:t>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t>134</w:t>
      </w:r>
    </w:p>
    <w:p w:rsidR="00064C4B" w:rsidRPr="00A04A97" w:rsidRDefault="00064C4B" w:rsidP="00064C4B">
      <w:pPr>
        <w:ind w:left="720" w:firstLine="720"/>
        <w:rPr>
          <w:color w:val="000000" w:themeColor="text1"/>
          <w:spacing w:val="-3"/>
        </w:rPr>
      </w:pPr>
      <w:r w:rsidRPr="00A04A97">
        <w:rPr>
          <w:color w:val="000000" w:themeColor="text1"/>
          <w:spacing w:val="-3"/>
        </w:rPr>
        <w:t>Beachcomber Coins v. Boskett</w:t>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r>
      <w:r w:rsidR="00CB28AA">
        <w:rPr>
          <w:color w:val="000000" w:themeColor="text1"/>
        </w:rPr>
        <w:tab/>
        <w:t>136</w:t>
      </w:r>
    </w:p>
    <w:p w:rsidR="00064C4B" w:rsidRPr="0049298F" w:rsidRDefault="00064C4B" w:rsidP="00064C4B">
      <w:pPr>
        <w:ind w:left="720" w:firstLine="720"/>
        <w:rPr>
          <w:color w:val="000000"/>
          <w:spacing w:val="-3"/>
        </w:rPr>
      </w:pPr>
      <w:r w:rsidRPr="00F13D8D">
        <w:rPr>
          <w:color w:val="000000" w:themeColor="text1"/>
          <w:spacing w:val="-3"/>
        </w:rPr>
        <w:t>Page v. Gulf Coast Motors</w:t>
      </w:r>
      <w:r w:rsidRPr="00F13D8D">
        <w:rPr>
          <w:color w:val="000000" w:themeColor="text1"/>
        </w:rPr>
        <w:tab/>
      </w:r>
      <w:r w:rsidRPr="00F13D8D">
        <w:rPr>
          <w:color w:val="000000" w:themeColor="text1"/>
        </w:rPr>
        <w:tab/>
      </w:r>
      <w:r w:rsidRPr="00F13D8D">
        <w:rPr>
          <w:color w:val="000000" w:themeColor="text1"/>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137</w:t>
      </w:r>
    </w:p>
    <w:p w:rsidR="00064C4B" w:rsidRPr="0049298F" w:rsidRDefault="00064C4B" w:rsidP="00064C4B">
      <w:pPr>
        <w:ind w:left="720" w:firstLine="720"/>
        <w:rPr>
          <w:color w:val="000000"/>
        </w:rPr>
      </w:pPr>
      <w:r w:rsidRPr="0049298F">
        <w:rPr>
          <w:color w:val="000000"/>
          <w:spacing w:val="-3"/>
        </w:rPr>
        <w:t>Sutton v. Warner</w:t>
      </w:r>
      <w:r w:rsidRPr="0049298F">
        <w:rPr>
          <w:color w:val="000000"/>
          <w:spacing w:val="-3"/>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00CB28AA">
        <w:rPr>
          <w:color w:val="000000"/>
        </w:rPr>
        <w:t>139</w:t>
      </w:r>
    </w:p>
    <w:p w:rsidR="00064C4B" w:rsidRPr="0049298F" w:rsidRDefault="00064C4B" w:rsidP="00064C4B">
      <w:pPr>
        <w:ind w:left="720" w:firstLine="720"/>
        <w:rPr>
          <w:color w:val="000000"/>
        </w:rPr>
      </w:pPr>
      <w:r w:rsidRPr="0049298F">
        <w:rPr>
          <w:color w:val="000000"/>
        </w:rPr>
        <w:t>Doherty v. Doherty Insurance Agency, Inc.</w:t>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Pr="0049298F">
        <w:rPr>
          <w:color w:val="000000"/>
        </w:rPr>
        <w:tab/>
      </w:r>
      <w:r w:rsidR="00CB28AA">
        <w:rPr>
          <w:color w:val="000000"/>
        </w:rPr>
        <w:t>142</w:t>
      </w:r>
    </w:p>
    <w:p w:rsidR="00064C4B" w:rsidRPr="00983B45" w:rsidRDefault="00064C4B" w:rsidP="00064C4B">
      <w:pPr>
        <w:ind w:left="720" w:firstLine="720"/>
        <w:rPr>
          <w:color w:val="000000" w:themeColor="text1"/>
          <w:spacing w:val="-3"/>
        </w:rPr>
      </w:pPr>
      <w:r w:rsidRPr="00983B45">
        <w:rPr>
          <w:color w:val="000000" w:themeColor="text1"/>
          <w:spacing w:val="-3"/>
        </w:rPr>
        <w:t>Sawyer v. Mills</w:t>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Pr>
          <w:color w:val="000000" w:themeColor="text1"/>
        </w:rPr>
        <w:tab/>
      </w:r>
      <w:r w:rsidR="00CB28AA">
        <w:rPr>
          <w:color w:val="000000" w:themeColor="text1"/>
        </w:rPr>
        <w:tab/>
      </w:r>
      <w:r w:rsidR="00CB28AA">
        <w:rPr>
          <w:color w:val="000000" w:themeColor="text1"/>
        </w:rPr>
        <w:tab/>
      </w:r>
      <w:r w:rsidR="00CB28AA">
        <w:rPr>
          <w:color w:val="000000" w:themeColor="text1"/>
        </w:rPr>
        <w:tab/>
        <w:t>145</w:t>
      </w:r>
    </w:p>
    <w:p w:rsidR="00064C4B" w:rsidRPr="0049298F" w:rsidRDefault="00064C4B" w:rsidP="00064C4B">
      <w:pPr>
        <w:ind w:left="720" w:firstLine="720"/>
        <w:rPr>
          <w:color w:val="000000"/>
          <w:spacing w:val="-3"/>
        </w:rPr>
      </w:pPr>
      <w:r w:rsidRPr="0049298F">
        <w:rPr>
          <w:color w:val="000000"/>
          <w:spacing w:val="-3"/>
        </w:rPr>
        <w:t>Parke</w:t>
      </w:r>
      <w:r w:rsidR="00CB28AA">
        <w:rPr>
          <w:color w:val="000000"/>
          <w:spacing w:val="-3"/>
        </w:rPr>
        <w:t>r v. 20th Century Fox</w:t>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t>148</w:t>
      </w:r>
    </w:p>
    <w:p w:rsidR="00064C4B" w:rsidRDefault="00064C4B" w:rsidP="00064C4B">
      <w:pPr>
        <w:ind w:left="720" w:firstLine="720"/>
        <w:rPr>
          <w:color w:val="000000"/>
          <w:spacing w:val="-3"/>
        </w:rPr>
      </w:pPr>
      <w:r w:rsidRPr="0049298F">
        <w:rPr>
          <w:color w:val="000000"/>
          <w:spacing w:val="-3"/>
        </w:rPr>
        <w:t>C &amp; H v. Sun Ship</w:t>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t>151</w:t>
      </w:r>
    </w:p>
    <w:p w:rsidR="00064C4B" w:rsidRDefault="00064C4B" w:rsidP="00064C4B">
      <w:pPr>
        <w:ind w:left="720" w:firstLine="720"/>
        <w:rPr>
          <w:color w:val="000000"/>
          <w:spacing w:val="-3"/>
        </w:rPr>
      </w:pPr>
      <w:r w:rsidRPr="000C460C">
        <w:rPr>
          <w:color w:val="000000"/>
          <w:spacing w:val="-3"/>
        </w:rPr>
        <w:t>O’Neill v. Gallant</w:t>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t>153</w:t>
      </w:r>
    </w:p>
    <w:p w:rsidR="00064C4B" w:rsidRDefault="00064C4B" w:rsidP="00064C4B">
      <w:pPr>
        <w:ind w:left="720" w:firstLine="720"/>
        <w:rPr>
          <w:color w:val="000000"/>
          <w:spacing w:val="-3"/>
        </w:rPr>
      </w:pPr>
      <w:r w:rsidRPr="000C460C">
        <w:rPr>
          <w:color w:val="000000"/>
          <w:spacing w:val="-3"/>
        </w:rPr>
        <w:t>Hadley v. Baxendale</w:t>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t>156</w:t>
      </w:r>
    </w:p>
    <w:p w:rsidR="00064C4B" w:rsidRPr="00EE4159" w:rsidRDefault="00064C4B" w:rsidP="00064C4B">
      <w:pPr>
        <w:ind w:left="720" w:firstLine="720"/>
        <w:rPr>
          <w:color w:val="000000"/>
          <w:spacing w:val="-3"/>
        </w:rPr>
      </w:pPr>
      <w:r w:rsidRPr="000C460C">
        <w:rPr>
          <w:color w:val="000000"/>
        </w:rPr>
        <w:t>Super Valu Stores v. Peterson</w:t>
      </w:r>
      <w:r w:rsidRPr="000C460C">
        <w:rPr>
          <w:color w:val="000000"/>
        </w:rPr>
        <w:tab/>
      </w:r>
      <w:r w:rsidRPr="000C460C">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158</w:t>
      </w:r>
      <w:r>
        <w:rPr>
          <w:color w:val="000000"/>
          <w:spacing w:val="-3"/>
        </w:rPr>
        <w:tab/>
      </w:r>
      <w:r>
        <w:rPr>
          <w:color w:val="000000"/>
          <w:spacing w:val="-3"/>
        </w:rPr>
        <w:tab/>
      </w:r>
      <w:r w:rsidRPr="000C460C">
        <w:rPr>
          <w:color w:val="000000"/>
          <w:spacing w:val="-3"/>
        </w:rPr>
        <w:t>Sharick v. SE University of the Health Sciences</w:t>
      </w:r>
      <w:r w:rsidR="00CB28AA">
        <w:rPr>
          <w:color w:val="000000"/>
          <w:spacing w:val="-3"/>
        </w:rPr>
        <w:tab/>
      </w:r>
      <w:r w:rsidR="00CB28AA">
        <w:rPr>
          <w:color w:val="000000"/>
          <w:spacing w:val="-3"/>
        </w:rPr>
        <w:tab/>
      </w:r>
      <w:r w:rsidR="00CB28AA">
        <w:rPr>
          <w:color w:val="000000"/>
          <w:spacing w:val="-3"/>
        </w:rPr>
        <w:tab/>
      </w:r>
      <w:r w:rsidR="00CB28AA">
        <w:rPr>
          <w:color w:val="000000"/>
          <w:spacing w:val="-3"/>
        </w:rPr>
        <w:tab/>
      </w:r>
      <w:r w:rsidR="00CB28AA">
        <w:rPr>
          <w:color w:val="000000"/>
          <w:spacing w:val="-3"/>
        </w:rPr>
        <w:tab/>
        <w:t>161</w:t>
      </w:r>
    </w:p>
    <w:p w:rsidR="00064C4B" w:rsidRDefault="00064C4B" w:rsidP="00064C4B">
      <w:pPr>
        <w:ind w:left="720" w:firstLine="720"/>
      </w:pPr>
      <w:r w:rsidRPr="0057508E">
        <w:t>Union Carbide v. Oscar Mayer Foods</w:t>
      </w:r>
      <w:r w:rsidRPr="0057508E">
        <w:tab/>
      </w:r>
      <w:r w:rsidRPr="0057508E">
        <w:tab/>
      </w:r>
      <w:r w:rsidRPr="0057508E">
        <w:tab/>
      </w:r>
      <w:r w:rsidRPr="0057508E">
        <w:tab/>
      </w:r>
      <w:r w:rsidRPr="0057508E">
        <w:tab/>
      </w:r>
      <w:r w:rsidRPr="0057508E">
        <w:tab/>
      </w:r>
      <w:r w:rsidR="00CB28AA">
        <w:t>164</w:t>
      </w:r>
    </w:p>
    <w:p w:rsidR="00064C4B" w:rsidRDefault="00064C4B" w:rsidP="00064C4B">
      <w:pPr>
        <w:ind w:left="720" w:firstLine="720"/>
      </w:pPr>
      <w:r w:rsidRPr="0057508E">
        <w:t>Miller v. Newsweek</w:t>
      </w:r>
      <w:r w:rsidRPr="0057508E">
        <w:tab/>
      </w:r>
      <w:r w:rsidRPr="0057508E">
        <w:tab/>
      </w:r>
      <w:r w:rsidRPr="0057508E">
        <w:tab/>
      </w:r>
      <w:r w:rsidRPr="0057508E">
        <w:tab/>
      </w:r>
      <w:r w:rsidRPr="0057508E">
        <w:tab/>
      </w:r>
      <w:r w:rsidRPr="0057508E">
        <w:tab/>
      </w:r>
      <w:r w:rsidRPr="0057508E">
        <w:tab/>
      </w:r>
      <w:r w:rsidRPr="0057508E">
        <w:tab/>
      </w:r>
      <w:r w:rsidR="00CB28AA">
        <w:t>167</w:t>
      </w:r>
    </w:p>
    <w:p w:rsidR="00064C4B" w:rsidRDefault="00064C4B" w:rsidP="00064C4B">
      <w:pPr>
        <w:ind w:left="720" w:firstLine="720"/>
      </w:pPr>
      <w:r w:rsidRPr="0057508E">
        <w:t>Joc Oil v. Con Edison Co.</w:t>
      </w:r>
      <w:r w:rsidRPr="0057508E">
        <w:tab/>
      </w:r>
      <w:r w:rsidRPr="0057508E">
        <w:tab/>
      </w:r>
      <w:r w:rsidRPr="0057508E">
        <w:tab/>
      </w:r>
      <w:r w:rsidRPr="0057508E">
        <w:tab/>
      </w:r>
      <w:r w:rsidRPr="0057508E">
        <w:tab/>
      </w:r>
      <w:r w:rsidRPr="0057508E">
        <w:tab/>
      </w:r>
      <w:r w:rsidRPr="0057508E">
        <w:tab/>
      </w:r>
      <w:r w:rsidR="00CB28AA">
        <w:tab/>
        <w:t>171</w:t>
      </w:r>
    </w:p>
    <w:p w:rsidR="00064C4B" w:rsidRPr="0057508E" w:rsidRDefault="00064C4B" w:rsidP="00064C4B"/>
    <w:p w:rsidR="00064C4B" w:rsidRPr="0057508E" w:rsidRDefault="00064C4B" w:rsidP="00064C4B">
      <w:pPr>
        <w:numPr>
          <w:ilvl w:val="0"/>
          <w:numId w:val="1"/>
        </w:numPr>
      </w:pPr>
      <w:r w:rsidRPr="0057508E">
        <w:t>Creditor’s Rights</w:t>
      </w:r>
    </w:p>
    <w:p w:rsidR="00064C4B" w:rsidRPr="0057508E" w:rsidRDefault="00064C4B" w:rsidP="00064C4B">
      <w:pPr>
        <w:ind w:left="1440"/>
        <w:rPr>
          <w:spacing w:val="-3"/>
        </w:rPr>
      </w:pPr>
      <w:r w:rsidRPr="0057508E">
        <w:rPr>
          <w:spacing w:val="-3"/>
        </w:rPr>
        <w:t>Security Pacific Bank v. Reiginger</w:t>
      </w:r>
      <w:r w:rsidRPr="0057508E">
        <w:rPr>
          <w:spacing w:val="-3"/>
        </w:rPr>
        <w:tab/>
      </w:r>
      <w:r w:rsidRPr="0057508E">
        <w:rPr>
          <w:spacing w:val="-3"/>
        </w:rPr>
        <w:tab/>
      </w:r>
      <w:r w:rsidRPr="0057508E">
        <w:rPr>
          <w:spacing w:val="-3"/>
        </w:rPr>
        <w:tab/>
      </w:r>
      <w:r w:rsidRPr="0057508E">
        <w:rPr>
          <w:spacing w:val="-3"/>
        </w:rPr>
        <w:tab/>
      </w:r>
      <w:r w:rsidRPr="0057508E">
        <w:rPr>
          <w:spacing w:val="-3"/>
        </w:rPr>
        <w:tab/>
      </w:r>
      <w:r w:rsidRPr="0057508E">
        <w:rPr>
          <w:spacing w:val="-3"/>
        </w:rPr>
        <w:tab/>
      </w:r>
      <w:r w:rsidRPr="0057508E">
        <w:rPr>
          <w:spacing w:val="-3"/>
        </w:rPr>
        <w:tab/>
        <w:t>1</w:t>
      </w:r>
      <w:r w:rsidR="00CB28AA">
        <w:rPr>
          <w:spacing w:val="-3"/>
        </w:rPr>
        <w:t>76</w:t>
      </w:r>
    </w:p>
    <w:p w:rsidR="00064C4B" w:rsidRPr="0049298F" w:rsidRDefault="00064C4B" w:rsidP="00064C4B">
      <w:pPr>
        <w:ind w:left="1440"/>
        <w:rPr>
          <w:spacing w:val="-3"/>
        </w:rPr>
      </w:pPr>
      <w:r w:rsidRPr="0049298F">
        <w:rPr>
          <w:spacing w:val="-3"/>
        </w:rPr>
        <w:t>Bank of So</w:t>
      </w:r>
      <w:r w:rsidR="00CB28AA">
        <w:rPr>
          <w:spacing w:val="-3"/>
        </w:rPr>
        <w:t>uth Palm Beaches v. SWD</w:t>
      </w:r>
      <w:r w:rsidR="00CB28AA">
        <w:rPr>
          <w:spacing w:val="-3"/>
        </w:rPr>
        <w:tab/>
      </w:r>
      <w:r w:rsidR="00CB28AA">
        <w:rPr>
          <w:spacing w:val="-3"/>
        </w:rPr>
        <w:tab/>
      </w:r>
      <w:r w:rsidR="00CB28AA">
        <w:rPr>
          <w:spacing w:val="-3"/>
        </w:rPr>
        <w:tab/>
      </w:r>
      <w:r w:rsidR="00CB28AA">
        <w:rPr>
          <w:spacing w:val="-3"/>
        </w:rPr>
        <w:tab/>
      </w:r>
      <w:r w:rsidR="00CB28AA">
        <w:rPr>
          <w:spacing w:val="-3"/>
        </w:rPr>
        <w:tab/>
      </w:r>
      <w:r w:rsidR="00CB28AA">
        <w:rPr>
          <w:spacing w:val="-3"/>
        </w:rPr>
        <w:tab/>
        <w:t>178</w:t>
      </w:r>
    </w:p>
    <w:p w:rsidR="00064C4B" w:rsidRPr="0049298F" w:rsidRDefault="00064C4B" w:rsidP="00064C4B">
      <w:pPr>
        <w:ind w:left="1440"/>
        <w:rPr>
          <w:spacing w:val="-3"/>
        </w:rPr>
      </w:pPr>
      <w:r w:rsidRPr="00EF406D">
        <w:rPr>
          <w:color w:val="000000" w:themeColor="text1"/>
          <w:spacing w:val="-3"/>
        </w:rPr>
        <w:t>Pankratz v. Citizens National Bank</w:t>
      </w:r>
      <w:r w:rsidRPr="0049298F">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180</w:t>
      </w:r>
    </w:p>
    <w:p w:rsidR="00064C4B" w:rsidRPr="0049298F" w:rsidRDefault="00064C4B" w:rsidP="00064C4B">
      <w:pPr>
        <w:ind w:left="1440"/>
        <w:rPr>
          <w:spacing w:val="-3"/>
        </w:rPr>
      </w:pPr>
      <w:r w:rsidRPr="0049298F">
        <w:rPr>
          <w:spacing w:val="-3"/>
        </w:rPr>
        <w:t xml:space="preserve">McGowen v. </w:t>
      </w:r>
      <w:smartTag w:uri="urn:schemas-microsoft-com:office:smarttags" w:element="place">
        <w:smartTag w:uri="urn:schemas-microsoft-com:office:smarttags" w:element="State">
          <w:r w:rsidRPr="0049298F">
            <w:rPr>
              <w:spacing w:val="-3"/>
            </w:rPr>
            <w:t>Nebraska</w:t>
          </w:r>
        </w:smartTag>
      </w:smartTag>
      <w:r w:rsidRPr="0049298F">
        <w:rPr>
          <w:spacing w:val="-3"/>
        </w:rPr>
        <w:t xml:space="preserve"> Bank</w:t>
      </w:r>
      <w:r w:rsidRPr="0049298F">
        <w:rPr>
          <w:spacing w:val="-3"/>
        </w:rPr>
        <w:tab/>
      </w:r>
      <w:r w:rsidRPr="0049298F">
        <w:rPr>
          <w:spacing w:val="-3"/>
        </w:rPr>
        <w:tab/>
      </w:r>
      <w:r w:rsidRPr="0049298F">
        <w:rPr>
          <w:spacing w:val="-3"/>
        </w:rPr>
        <w:tab/>
      </w:r>
      <w:r w:rsidRPr="0049298F">
        <w:rPr>
          <w:spacing w:val="-3"/>
        </w:rPr>
        <w:tab/>
      </w:r>
      <w:r w:rsidRPr="0049298F">
        <w:rPr>
          <w:spacing w:val="-3"/>
        </w:rPr>
        <w:tab/>
      </w:r>
      <w:r w:rsidRPr="0049298F">
        <w:rPr>
          <w:spacing w:val="-3"/>
        </w:rPr>
        <w:tab/>
      </w:r>
      <w:r w:rsidRPr="0049298F">
        <w:rPr>
          <w:spacing w:val="-3"/>
        </w:rPr>
        <w:tab/>
      </w:r>
      <w:r w:rsidR="00CB28AA">
        <w:rPr>
          <w:spacing w:val="-3"/>
        </w:rPr>
        <w:t>183</w:t>
      </w:r>
    </w:p>
    <w:p w:rsidR="00064C4B" w:rsidRPr="0049298F" w:rsidRDefault="00CB28AA" w:rsidP="00064C4B">
      <w:pPr>
        <w:ind w:left="1440"/>
        <w:rPr>
          <w:spacing w:val="-3"/>
        </w:rPr>
      </w:pPr>
      <w:r>
        <w:rPr>
          <w:spacing w:val="-3"/>
        </w:rPr>
        <w:t>In Re: Phillips</w:t>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r>
      <w:r>
        <w:rPr>
          <w:spacing w:val="-3"/>
        </w:rPr>
        <w:tab/>
        <w:t>186</w:t>
      </w:r>
    </w:p>
    <w:p w:rsidR="00064C4B" w:rsidRPr="0049298F" w:rsidRDefault="00064C4B" w:rsidP="00064C4B">
      <w:r w:rsidRPr="0049298F">
        <w:tab/>
      </w:r>
      <w:r w:rsidRPr="0049298F">
        <w:tab/>
      </w:r>
      <w:r w:rsidRPr="00EF406D">
        <w:rPr>
          <w:color w:val="000000" w:themeColor="text1"/>
          <w:spacing w:val="-3"/>
        </w:rPr>
        <w:t>Ozark v. Turner</w:t>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r>
      <w:r w:rsidR="00CB28AA">
        <w:rPr>
          <w:color w:val="000000"/>
        </w:rPr>
        <w:tab/>
        <w:t>188</w:t>
      </w:r>
    </w:p>
    <w:p w:rsidR="00064C4B" w:rsidRPr="0049298F" w:rsidRDefault="00064C4B" w:rsidP="00064C4B"/>
    <w:p w:rsidR="00064C4B" w:rsidRDefault="00064C4B" w:rsidP="00064C4B">
      <w:r w:rsidRPr="0057508E">
        <w:t>VIII.</w:t>
      </w:r>
      <w:r w:rsidRPr="0057508E">
        <w:tab/>
        <w:t>Bankruptcy</w:t>
      </w:r>
    </w:p>
    <w:p w:rsidR="00064C4B" w:rsidRDefault="00064C4B" w:rsidP="00064C4B">
      <w:pPr>
        <w:ind w:left="1440"/>
      </w:pPr>
      <w:r w:rsidRPr="0057508E">
        <w:t>Kawaauhau v. Geiger</w:t>
      </w:r>
      <w:r w:rsidRPr="0057508E">
        <w:tab/>
      </w:r>
      <w:r w:rsidRPr="0057508E">
        <w:tab/>
      </w:r>
      <w:r w:rsidRPr="0057508E">
        <w:tab/>
      </w:r>
      <w:r w:rsidRPr="0057508E">
        <w:tab/>
      </w:r>
      <w:r w:rsidRPr="0057508E">
        <w:tab/>
      </w:r>
      <w:r w:rsidRPr="0057508E">
        <w:tab/>
      </w:r>
      <w:r w:rsidRPr="0057508E">
        <w:tab/>
      </w:r>
      <w:r w:rsidRPr="0057508E">
        <w:tab/>
      </w:r>
      <w:r w:rsidR="00CB28AA">
        <w:t>190</w:t>
      </w:r>
    </w:p>
    <w:p w:rsidR="00064C4B" w:rsidRPr="00037BEA" w:rsidRDefault="00064C4B" w:rsidP="00064C4B">
      <w:pPr>
        <w:ind w:left="1440"/>
      </w:pPr>
      <w:r w:rsidRPr="0057508E">
        <w:rPr>
          <w:spacing w:val="-3"/>
        </w:rPr>
        <w:t>In re: Johns-Manville Corp</w:t>
      </w:r>
      <w:r w:rsidRPr="0057508E">
        <w:rPr>
          <w:spacing w:val="-3"/>
        </w:rPr>
        <w:tab/>
      </w:r>
      <w:r w:rsidRPr="0057508E">
        <w:rPr>
          <w:spacing w:val="-3"/>
        </w:rPr>
        <w:tab/>
      </w:r>
      <w:r w:rsidRPr="0057508E">
        <w:rPr>
          <w:spacing w:val="-3"/>
        </w:rPr>
        <w:tab/>
      </w:r>
      <w:r w:rsidRPr="0057508E">
        <w:rPr>
          <w:spacing w:val="-3"/>
        </w:rPr>
        <w:tab/>
      </w:r>
      <w:r w:rsidRPr="0057508E">
        <w:rPr>
          <w:spacing w:val="-3"/>
        </w:rPr>
        <w:tab/>
      </w:r>
      <w:r w:rsidRPr="0057508E">
        <w:rPr>
          <w:spacing w:val="-3"/>
        </w:rPr>
        <w:tab/>
      </w:r>
      <w:r w:rsidRPr="0057508E">
        <w:rPr>
          <w:spacing w:val="-3"/>
        </w:rPr>
        <w:tab/>
      </w:r>
      <w:r w:rsidRPr="0057508E">
        <w:rPr>
          <w:spacing w:val="-3"/>
        </w:rPr>
        <w:tab/>
      </w:r>
      <w:r w:rsidR="00CB28AA">
        <w:rPr>
          <w:spacing w:val="-3"/>
        </w:rPr>
        <w:t>194</w:t>
      </w:r>
    </w:p>
    <w:p w:rsidR="00032A5B" w:rsidRDefault="00032A5B" w:rsidP="00064C4B">
      <w:pPr>
        <w:jc w:val="center"/>
      </w:pPr>
    </w:p>
    <w:p w:rsidR="00032A5B" w:rsidRPr="0057508E" w:rsidRDefault="00032A5B" w:rsidP="00032A5B">
      <w:pPr>
        <w:ind w:left="1440"/>
        <w:rPr>
          <w:spacing w:val="-3"/>
        </w:rPr>
      </w:pPr>
    </w:p>
    <w:p w:rsidR="00032A5B" w:rsidRDefault="00032A5B" w:rsidP="00032A5B"/>
    <w:p w:rsidR="00032A5B" w:rsidRDefault="00032A5B" w:rsidP="00032A5B"/>
    <w:p w:rsidR="00032A5B" w:rsidRPr="00F925A5" w:rsidRDefault="00032A5B" w:rsidP="00032A5B"/>
    <w:p w:rsidR="00032A5B" w:rsidRPr="00B7701E" w:rsidRDefault="00032A5B" w:rsidP="00032A5B">
      <w:pPr>
        <w:pStyle w:val="Heading1"/>
        <w:jc w:val="both"/>
        <w:rPr>
          <w:szCs w:val="24"/>
        </w:rPr>
      </w:pPr>
      <w:r>
        <w:rPr>
          <w:szCs w:val="24"/>
        </w:rPr>
        <w:br w:type="page"/>
      </w:r>
      <w:r w:rsidRPr="00B7701E">
        <w:rPr>
          <w:szCs w:val="24"/>
        </w:rPr>
        <w:lastRenderedPageBreak/>
        <w:t>I.   Jurisdiction of the Courts</w:t>
      </w:r>
    </w:p>
    <w:p w:rsidR="00032A5B" w:rsidRDefault="00032A5B" w:rsidP="00032A5B"/>
    <w:p w:rsidR="00032A5B" w:rsidRDefault="00032A5B" w:rsidP="00032A5B">
      <w:pPr>
        <w:pStyle w:val="Heading3"/>
        <w:ind w:left="0" w:firstLine="0"/>
        <w:jc w:val="center"/>
        <w:rPr>
          <w:sz w:val="20"/>
        </w:rPr>
      </w:pPr>
      <w:r>
        <w:br w:type="page"/>
      </w:r>
      <w:r w:rsidRPr="001C64BC">
        <w:rPr>
          <w:sz w:val="20"/>
        </w:rPr>
        <w:lastRenderedPageBreak/>
        <w:t>SIERRA CLUB V. MORTON</w:t>
      </w:r>
      <w:r w:rsidRPr="001C64BC">
        <w:rPr>
          <w:bCs/>
          <w:sz w:val="20"/>
        </w:rPr>
        <w:t xml:space="preserve">, SECRETARY </w:t>
      </w:r>
      <w:r>
        <w:rPr>
          <w:bCs/>
          <w:sz w:val="20"/>
        </w:rPr>
        <w:t>O</w:t>
      </w:r>
      <w:r w:rsidRPr="001C64BC">
        <w:rPr>
          <w:bCs/>
          <w:sz w:val="20"/>
        </w:rPr>
        <w:t xml:space="preserve">F </w:t>
      </w:r>
      <w:r>
        <w:rPr>
          <w:bCs/>
          <w:sz w:val="20"/>
        </w:rPr>
        <w:t>T</w:t>
      </w:r>
      <w:r w:rsidRPr="001C64BC">
        <w:rPr>
          <w:bCs/>
          <w:sz w:val="20"/>
        </w:rPr>
        <w:t xml:space="preserve">HE INTERIOR, </w:t>
      </w:r>
      <w:r>
        <w:rPr>
          <w:bCs/>
          <w:sz w:val="20"/>
        </w:rPr>
        <w:t>E</w:t>
      </w:r>
      <w:r w:rsidRPr="001C64BC">
        <w:rPr>
          <w:bCs/>
          <w:sz w:val="20"/>
        </w:rPr>
        <w:t xml:space="preserve">T </w:t>
      </w:r>
      <w:r>
        <w:rPr>
          <w:bCs/>
          <w:sz w:val="20"/>
        </w:rPr>
        <w:t>A</w:t>
      </w:r>
      <w:r w:rsidRPr="001C64BC">
        <w:rPr>
          <w:bCs/>
          <w:sz w:val="20"/>
        </w:rPr>
        <w:t>L.</w:t>
      </w:r>
    </w:p>
    <w:p w:rsidR="00032A5B" w:rsidRDefault="00032A5B" w:rsidP="00032A5B">
      <w:pPr>
        <w:pStyle w:val="BodyText"/>
      </w:pPr>
    </w:p>
    <w:p w:rsidR="00032A5B" w:rsidRPr="001C64BC" w:rsidRDefault="00032A5B" w:rsidP="00032A5B">
      <w:pPr>
        <w:pStyle w:val="BodyText"/>
      </w:pPr>
      <w:smartTag w:uri="urn:schemas-microsoft-com:office:smarttags" w:element="place">
        <w:smartTag w:uri="urn:schemas-microsoft-com:office:smarttags" w:element="country-region">
          <w:r w:rsidRPr="001C64BC">
            <w:t>U.S.</w:t>
          </w:r>
        </w:smartTag>
      </w:smartTag>
      <w:r w:rsidRPr="001C64BC">
        <w:t xml:space="preserve"> Supreme Court</w:t>
      </w:r>
    </w:p>
    <w:p w:rsidR="00032A5B" w:rsidRDefault="00032A5B" w:rsidP="00032A5B">
      <w:pPr>
        <w:pStyle w:val="Heading3"/>
        <w:ind w:left="0" w:firstLine="0"/>
        <w:jc w:val="center"/>
        <w:rPr>
          <w:sz w:val="20"/>
        </w:rPr>
      </w:pPr>
    </w:p>
    <w:p w:rsidR="00032A5B" w:rsidRPr="001C64BC" w:rsidRDefault="00032A5B" w:rsidP="00032A5B">
      <w:pPr>
        <w:pStyle w:val="Heading3"/>
        <w:ind w:left="0" w:firstLine="0"/>
        <w:jc w:val="center"/>
        <w:rPr>
          <w:sz w:val="20"/>
        </w:rPr>
      </w:pPr>
      <w:r w:rsidRPr="001C64BC">
        <w:rPr>
          <w:sz w:val="20"/>
        </w:rPr>
        <w:t xml:space="preserve">405 </w:t>
      </w:r>
      <w:smartTag w:uri="urn:schemas-microsoft-com:office:smarttags" w:element="place">
        <w:smartTag w:uri="urn:schemas-microsoft-com:office:smarttags" w:element="country-region">
          <w:r w:rsidRPr="001C64BC">
            <w:rPr>
              <w:sz w:val="20"/>
            </w:rPr>
            <w:t>U.S.</w:t>
          </w:r>
        </w:smartTag>
      </w:smartTag>
      <w:r w:rsidRPr="001C64BC">
        <w:rPr>
          <w:sz w:val="20"/>
        </w:rPr>
        <w:t xml:space="preserve"> 727 (1972)</w:t>
      </w:r>
    </w:p>
    <w:p w:rsidR="00032A5B" w:rsidRDefault="00032A5B" w:rsidP="00032A5B">
      <w:pPr>
        <w:pStyle w:val="NormalWeb"/>
        <w:spacing w:before="0" w:beforeAutospacing="0" w:after="0" w:afterAutospacing="0"/>
        <w:jc w:val="center"/>
        <w:rPr>
          <w:bCs/>
          <w:sz w:val="20"/>
          <w:szCs w:val="20"/>
        </w:rPr>
      </w:pPr>
    </w:p>
    <w:p w:rsidR="00032A5B" w:rsidRPr="00476B59" w:rsidRDefault="00032A5B" w:rsidP="00032A5B">
      <w:pPr>
        <w:pStyle w:val="NormalWeb"/>
        <w:spacing w:before="0" w:beforeAutospacing="0" w:after="0" w:afterAutospacing="0"/>
        <w:jc w:val="center"/>
        <w:rPr>
          <w:sz w:val="20"/>
          <w:szCs w:val="20"/>
        </w:rPr>
      </w:pPr>
      <w:r w:rsidRPr="00476B59">
        <w:rPr>
          <w:bCs/>
          <w:sz w:val="20"/>
          <w:szCs w:val="20"/>
        </w:rPr>
        <w:t xml:space="preserve">Decided </w:t>
      </w:r>
      <w:smartTag w:uri="urn:schemas-microsoft-com:office:smarttags" w:element="date">
        <w:smartTagPr>
          <w:attr w:name="Year" w:val="1972"/>
          <w:attr w:name="Day" w:val="19"/>
          <w:attr w:name="Month" w:val="4"/>
          <w:attr w:name="ls" w:val="trans"/>
        </w:smartTagPr>
        <w:r w:rsidRPr="00476B59">
          <w:rPr>
            <w:bCs/>
            <w:sz w:val="20"/>
            <w:szCs w:val="20"/>
          </w:rPr>
          <w:t>April 19, 1972</w:t>
        </w:r>
      </w:smartTag>
      <w:r w:rsidRPr="00476B59">
        <w:rPr>
          <w:bCs/>
          <w:sz w:val="20"/>
          <w:szCs w:val="20"/>
        </w:rPr>
        <w:t xml:space="preserve"> </w:t>
      </w:r>
    </w:p>
    <w:p w:rsidR="00032A5B" w:rsidRPr="008306E8" w:rsidRDefault="00032A5B" w:rsidP="00032A5B">
      <w:pPr>
        <w:pStyle w:val="NormalWeb"/>
        <w:rPr>
          <w:sz w:val="20"/>
          <w:szCs w:val="20"/>
        </w:rPr>
      </w:pPr>
      <w:r w:rsidRPr="008306E8">
        <w:rPr>
          <w:sz w:val="20"/>
          <w:szCs w:val="20"/>
        </w:rPr>
        <w:t xml:space="preserve">STEWART, J., delivered the opinion of the Court, in which BURGER, C. J., and WHITE and MARSHALL, JJ., joined. </w:t>
      </w:r>
      <w:r>
        <w:rPr>
          <w:sz w:val="20"/>
          <w:szCs w:val="20"/>
        </w:rPr>
        <w:t xml:space="preserve"> </w:t>
      </w:r>
      <w:r w:rsidRPr="008306E8">
        <w:rPr>
          <w:sz w:val="20"/>
          <w:szCs w:val="20"/>
        </w:rPr>
        <w:t xml:space="preserve">DOUGLAS, J., BRENNAN, J., and BLACKMUN, J.,  filed dissenting opinions. POWELL and REHNQUIST, JJ., took no part in the consideration or decision of the case. </w:t>
      </w:r>
    </w:p>
    <w:p w:rsidR="00032A5B" w:rsidRDefault="00032A5B" w:rsidP="00032A5B">
      <w:pPr>
        <w:pStyle w:val="NormalWeb"/>
        <w:rPr>
          <w:sz w:val="20"/>
          <w:szCs w:val="20"/>
        </w:rPr>
      </w:pPr>
      <w:r w:rsidRPr="008306E8">
        <w:rPr>
          <w:sz w:val="20"/>
          <w:szCs w:val="20"/>
        </w:rPr>
        <w:t xml:space="preserve">MR. JUSTICE STEWART delivered the opinion of the Court. </w:t>
      </w:r>
    </w:p>
    <w:p w:rsidR="00032A5B" w:rsidRDefault="00032A5B" w:rsidP="00032A5B">
      <w:pPr>
        <w:pStyle w:val="Heading3"/>
        <w:ind w:left="0" w:firstLine="0"/>
        <w:jc w:val="center"/>
        <w:rPr>
          <w:sz w:val="20"/>
        </w:rPr>
      </w:pPr>
    </w:p>
    <w:p w:rsidR="00032A5B" w:rsidRPr="008306E8" w:rsidRDefault="00032A5B" w:rsidP="00032A5B">
      <w:pPr>
        <w:pStyle w:val="Heading3"/>
        <w:ind w:left="0" w:firstLine="0"/>
        <w:jc w:val="center"/>
        <w:rPr>
          <w:sz w:val="20"/>
        </w:rPr>
      </w:pPr>
      <w:r w:rsidRPr="008306E8">
        <w:rPr>
          <w:sz w:val="20"/>
        </w:rPr>
        <w:t>I</w:t>
      </w:r>
    </w:p>
    <w:p w:rsidR="00032A5B" w:rsidRDefault="00032A5B" w:rsidP="00032A5B">
      <w:pPr>
        <w:pStyle w:val="NormalWeb"/>
        <w:rPr>
          <w:sz w:val="20"/>
          <w:szCs w:val="20"/>
        </w:rPr>
      </w:pPr>
      <w:r w:rsidRPr="008306E8">
        <w:rPr>
          <w:sz w:val="20"/>
          <w:szCs w:val="20"/>
        </w:rPr>
        <w:t xml:space="preserve">The </w:t>
      </w:r>
      <w:smartTag w:uri="urn:schemas-microsoft-com:office:smarttags" w:element="PlaceName">
        <w:r w:rsidRPr="008306E8">
          <w:rPr>
            <w:sz w:val="20"/>
            <w:szCs w:val="20"/>
          </w:rPr>
          <w:t>Mineral King</w:t>
        </w:r>
      </w:smartTag>
      <w:r w:rsidRPr="008306E8">
        <w:rPr>
          <w:sz w:val="20"/>
          <w:szCs w:val="20"/>
        </w:rPr>
        <w:t xml:space="preserve"> </w:t>
      </w:r>
      <w:smartTag w:uri="urn:schemas-microsoft-com:office:smarttags" w:element="PlaceType">
        <w:r w:rsidRPr="008306E8">
          <w:rPr>
            <w:sz w:val="20"/>
            <w:szCs w:val="20"/>
          </w:rPr>
          <w:t>Valley</w:t>
        </w:r>
      </w:smartTag>
      <w:r w:rsidRPr="008306E8">
        <w:rPr>
          <w:sz w:val="20"/>
          <w:szCs w:val="20"/>
        </w:rPr>
        <w:t xml:space="preserve"> is an area of great natural beauty nestled in the </w:t>
      </w:r>
      <w:smartTag w:uri="urn:schemas-microsoft-com:office:smarttags" w:element="PlaceName">
        <w:r w:rsidRPr="008306E8">
          <w:rPr>
            <w:sz w:val="20"/>
            <w:szCs w:val="20"/>
          </w:rPr>
          <w:t>Sierra Nevada</w:t>
        </w:r>
      </w:smartTag>
      <w:r w:rsidRPr="008306E8">
        <w:rPr>
          <w:sz w:val="20"/>
          <w:szCs w:val="20"/>
        </w:rPr>
        <w:t xml:space="preserve"> </w:t>
      </w:r>
      <w:smartTag w:uri="urn:schemas-microsoft-com:office:smarttags" w:element="PlaceType">
        <w:r w:rsidRPr="008306E8">
          <w:rPr>
            <w:sz w:val="20"/>
            <w:szCs w:val="20"/>
          </w:rPr>
          <w:t>Mountains</w:t>
        </w:r>
      </w:smartTag>
      <w:r w:rsidRPr="008306E8">
        <w:rPr>
          <w:sz w:val="20"/>
          <w:szCs w:val="20"/>
        </w:rPr>
        <w:t xml:space="preserve"> in </w:t>
      </w:r>
      <w:smartTag w:uri="urn:schemas-microsoft-com:office:smarttags" w:element="City">
        <w:r w:rsidRPr="008306E8">
          <w:rPr>
            <w:sz w:val="20"/>
            <w:szCs w:val="20"/>
          </w:rPr>
          <w:t>Tulare County</w:t>
        </w:r>
      </w:smartTag>
      <w:r w:rsidRPr="008306E8">
        <w:rPr>
          <w:sz w:val="20"/>
          <w:szCs w:val="20"/>
        </w:rPr>
        <w:t xml:space="preserve">, </w:t>
      </w:r>
      <w:smartTag w:uri="urn:schemas-microsoft-com:office:smarttags" w:element="State">
        <w:r w:rsidRPr="008306E8">
          <w:rPr>
            <w:sz w:val="20"/>
            <w:szCs w:val="20"/>
          </w:rPr>
          <w:t>California</w:t>
        </w:r>
      </w:smartTag>
      <w:r w:rsidRPr="008306E8">
        <w:rPr>
          <w:sz w:val="20"/>
          <w:szCs w:val="20"/>
        </w:rPr>
        <w:t xml:space="preserve">, adjacent to </w:t>
      </w:r>
      <w:smartTag w:uri="urn:schemas-microsoft-com:office:smarttags" w:element="place">
        <w:smartTag w:uri="urn:schemas-microsoft-com:office:smarttags" w:element="PlaceName">
          <w:r w:rsidRPr="008306E8">
            <w:rPr>
              <w:sz w:val="20"/>
              <w:szCs w:val="20"/>
            </w:rPr>
            <w:t>Sequoia</w:t>
          </w:r>
        </w:smartTag>
        <w:r w:rsidRPr="008306E8">
          <w:rPr>
            <w:sz w:val="20"/>
            <w:szCs w:val="20"/>
          </w:rPr>
          <w:t xml:space="preserve"> </w:t>
        </w:r>
        <w:smartTag w:uri="urn:schemas-microsoft-com:office:smarttags" w:element="PlaceType">
          <w:r w:rsidRPr="008306E8">
            <w:rPr>
              <w:sz w:val="20"/>
              <w:szCs w:val="20"/>
            </w:rPr>
            <w:t>National Park</w:t>
          </w:r>
        </w:smartTag>
      </w:smartTag>
      <w:r w:rsidRPr="008306E8">
        <w:rPr>
          <w:sz w:val="20"/>
          <w:szCs w:val="20"/>
        </w:rPr>
        <w:t>.</w:t>
      </w:r>
      <w:r>
        <w:rPr>
          <w:sz w:val="20"/>
          <w:szCs w:val="20"/>
        </w:rPr>
        <w:t xml:space="preserve"> . . </w:t>
      </w:r>
    </w:p>
    <w:p w:rsidR="00032A5B" w:rsidRDefault="00032A5B" w:rsidP="00032A5B">
      <w:pPr>
        <w:pStyle w:val="NormalWeb"/>
        <w:rPr>
          <w:sz w:val="20"/>
          <w:szCs w:val="20"/>
        </w:rPr>
      </w:pPr>
      <w:r w:rsidRPr="008306E8">
        <w:rPr>
          <w:sz w:val="20"/>
          <w:szCs w:val="20"/>
        </w:rPr>
        <w:t>The United States Forest Service, which is entrusted with the maintenance and administration of national forests, began in the late 1940's to give consideration to Mineral King as a potential site for recreational development. Prodded by a rapidly increasing demand for skiing facilities, the Forest Service published a prospectus in 1965, inviting bids from private developers for the construction and operation of a ski resort that would also serve as a summer recreation area. The proposal of Walt Disney Enterprises, Inc., was chosen from those of six bidders</w:t>
      </w:r>
      <w:r>
        <w:rPr>
          <w:sz w:val="20"/>
          <w:szCs w:val="20"/>
        </w:rPr>
        <w:t xml:space="preserve"> . . .</w:t>
      </w:r>
    </w:p>
    <w:p w:rsidR="00032A5B" w:rsidRPr="008306E8" w:rsidRDefault="00032A5B" w:rsidP="00032A5B">
      <w:pPr>
        <w:pStyle w:val="NormalWeb"/>
        <w:rPr>
          <w:sz w:val="20"/>
          <w:szCs w:val="20"/>
        </w:rPr>
      </w:pPr>
      <w:r w:rsidRPr="008306E8">
        <w:rPr>
          <w:sz w:val="20"/>
          <w:szCs w:val="20"/>
        </w:rPr>
        <w:t xml:space="preserve">The final Disney plan, approved by the Forest Service in January 1969, outlines a $35 million complex of motels, restaurants, swimming pools, parking lots, and other structures designed to accommodate 14,000 visitors daily. This complex is to be constructed on 80 acres of the valley floor under a 30-year use permit from the Forest Service. Other facilities, including ski lifts, ski trails, a cog-assisted railway, and utility installations, are to be constructed on the mountain slopes and in other parts of the valley under a revocable special-use permit. To provide access to the resort, the State of </w:t>
      </w:r>
      <w:smartTag w:uri="urn:schemas-microsoft-com:office:smarttags" w:element="place">
        <w:smartTag w:uri="urn:schemas-microsoft-com:office:smarttags" w:element="State">
          <w:r w:rsidRPr="008306E8">
            <w:rPr>
              <w:sz w:val="20"/>
              <w:szCs w:val="20"/>
            </w:rPr>
            <w:t>California</w:t>
          </w:r>
        </w:smartTag>
      </w:smartTag>
      <w:r w:rsidRPr="008306E8">
        <w:rPr>
          <w:sz w:val="20"/>
          <w:szCs w:val="20"/>
        </w:rPr>
        <w:t xml:space="preserve"> proposes to construct a highway 20 miles in length. A section of this road would traverse </w:t>
      </w:r>
      <w:smartTag w:uri="urn:schemas-microsoft-com:office:smarttags" w:element="place">
        <w:smartTag w:uri="urn:schemas-microsoft-com:office:smarttags" w:element="PlaceName">
          <w:r w:rsidRPr="008306E8">
            <w:rPr>
              <w:sz w:val="20"/>
              <w:szCs w:val="20"/>
            </w:rPr>
            <w:t>Sequoia</w:t>
          </w:r>
        </w:smartTag>
        <w:r w:rsidRPr="008306E8">
          <w:rPr>
            <w:sz w:val="20"/>
            <w:szCs w:val="20"/>
          </w:rPr>
          <w:t xml:space="preserve"> </w:t>
        </w:r>
        <w:smartTag w:uri="urn:schemas-microsoft-com:office:smarttags" w:element="PlaceType">
          <w:r w:rsidRPr="008306E8">
            <w:rPr>
              <w:sz w:val="20"/>
              <w:szCs w:val="20"/>
            </w:rPr>
            <w:t>National Park</w:t>
          </w:r>
        </w:smartTag>
      </w:smartTag>
      <w:r w:rsidRPr="008306E8">
        <w:rPr>
          <w:sz w:val="20"/>
          <w:szCs w:val="20"/>
        </w:rPr>
        <w:t xml:space="preserve">, as would a proposed high-voltage power line needed to provide electricity for the resort. Both the highway and the power line require the approval of the Department of the Interior, which is entrusted with the preservation and maintenance of the national parks. </w:t>
      </w:r>
    </w:p>
    <w:p w:rsidR="00032A5B" w:rsidRPr="008306E8" w:rsidRDefault="00032A5B" w:rsidP="00032A5B">
      <w:pPr>
        <w:pStyle w:val="NormalWeb"/>
        <w:rPr>
          <w:sz w:val="20"/>
          <w:szCs w:val="20"/>
        </w:rPr>
      </w:pPr>
      <w:r w:rsidRPr="008306E8">
        <w:rPr>
          <w:sz w:val="20"/>
          <w:szCs w:val="20"/>
        </w:rPr>
        <w:t xml:space="preserve">Representatives of the Sierra Club, who favor maintaining Mineral King largely in its present state, </w:t>
      </w:r>
      <w:r>
        <w:rPr>
          <w:sz w:val="20"/>
          <w:szCs w:val="20"/>
        </w:rPr>
        <w:t xml:space="preserve">. . . </w:t>
      </w:r>
      <w:r w:rsidRPr="008306E8">
        <w:rPr>
          <w:sz w:val="20"/>
          <w:szCs w:val="20"/>
        </w:rPr>
        <w:t>unsuccessfully sought a public hearing on the proposed development in 1965</w:t>
      </w:r>
      <w:r>
        <w:rPr>
          <w:sz w:val="20"/>
          <w:szCs w:val="20"/>
        </w:rPr>
        <w:t xml:space="preserve"> . . . </w:t>
      </w:r>
      <w:r w:rsidRPr="008306E8">
        <w:rPr>
          <w:sz w:val="20"/>
          <w:szCs w:val="20"/>
        </w:rPr>
        <w:t xml:space="preserve"> In June 1969 the Club filed the present suit in the United States District Court for the Northern District of California, seeking a declaratory judgment that various aspects of the proposed development contravene federal laws and regulations governing the preservation of national parks, forests, and game refuges,</w:t>
      </w:r>
      <w:r>
        <w:rPr>
          <w:sz w:val="20"/>
          <w:szCs w:val="20"/>
        </w:rPr>
        <w:t xml:space="preserve"> </w:t>
      </w:r>
      <w:r w:rsidRPr="008306E8">
        <w:rPr>
          <w:sz w:val="20"/>
          <w:szCs w:val="20"/>
        </w:rPr>
        <w:t>and also seeking preliminary and permanent injunctions restraining the federal officials involved from granting their approval or issuing permits in connection with the Mineral King project.</w:t>
      </w:r>
      <w:r>
        <w:rPr>
          <w:sz w:val="20"/>
          <w:szCs w:val="20"/>
        </w:rPr>
        <w:t xml:space="preserve"> . . .</w:t>
      </w:r>
    </w:p>
    <w:p w:rsidR="00032A5B" w:rsidRPr="008306E8" w:rsidRDefault="00032A5B" w:rsidP="00032A5B">
      <w:r w:rsidRPr="008306E8">
        <w:t xml:space="preserve">After two days of hearings, the District Court granted the requested preliminary injunction. </w:t>
      </w:r>
      <w:r>
        <w:t xml:space="preserve"> </w:t>
      </w:r>
      <w:r w:rsidRPr="008306E8">
        <w:t xml:space="preserve">It rejected the respondents' challenge to the Sierra Club's standing to sue, and determined that the hearing had raised questions "concerning possible excess of statutory authority, sufficiently substantial and serious to justify a preliminary injunction . . . ." </w:t>
      </w:r>
      <w:r>
        <w:t xml:space="preserve"> </w:t>
      </w:r>
      <w:r w:rsidRPr="008306E8">
        <w:t xml:space="preserve">The respondents appealed, and the Court of Appeals for the Ninth Circuit reversed. </w:t>
      </w:r>
      <w:r>
        <w:t xml:space="preserve">. . . </w:t>
      </w:r>
      <w:r w:rsidRPr="008306E8">
        <w:t xml:space="preserve">The court thus vacated the injunction. </w:t>
      </w:r>
      <w:r>
        <w:t xml:space="preserve"> </w:t>
      </w:r>
      <w:r w:rsidRPr="008306E8">
        <w:t>The Sierra Club filed a petition for a writ of certiorari which we granted, to review the ques</w:t>
      </w:r>
      <w:r>
        <w:t>tions of federal law presented.</w:t>
      </w:r>
    </w:p>
    <w:p w:rsidR="00032A5B" w:rsidRPr="008306E8" w:rsidRDefault="00032A5B" w:rsidP="00032A5B">
      <w:pPr>
        <w:pStyle w:val="Heading3"/>
        <w:ind w:left="0" w:firstLine="0"/>
        <w:jc w:val="center"/>
        <w:rPr>
          <w:sz w:val="20"/>
        </w:rPr>
      </w:pPr>
      <w:r w:rsidRPr="008306E8">
        <w:rPr>
          <w:sz w:val="20"/>
        </w:rPr>
        <w:lastRenderedPageBreak/>
        <w:t>II</w:t>
      </w:r>
    </w:p>
    <w:p w:rsidR="00032A5B" w:rsidRPr="008306E8" w:rsidRDefault="00032A5B" w:rsidP="00032A5B">
      <w:pPr>
        <w:pStyle w:val="NormalWeb"/>
        <w:rPr>
          <w:sz w:val="20"/>
          <w:szCs w:val="20"/>
        </w:rPr>
      </w:pPr>
      <w:r w:rsidRPr="008306E8">
        <w:rPr>
          <w:sz w:val="20"/>
          <w:szCs w:val="20"/>
        </w:rPr>
        <w:t xml:space="preserve">The first question presented is whether the Sierra Club has alleged facts that entitle it to obtain judicial review of the challenged action. </w:t>
      </w:r>
      <w:r>
        <w:rPr>
          <w:sz w:val="20"/>
          <w:szCs w:val="20"/>
        </w:rPr>
        <w:t xml:space="preserve"> </w:t>
      </w:r>
      <w:r w:rsidRPr="008306E8">
        <w:rPr>
          <w:sz w:val="20"/>
          <w:szCs w:val="20"/>
        </w:rPr>
        <w:t xml:space="preserve">Whether a party has a sufficient stake in an otherwise justiciable controversy to obtain judicial resolution of that controversy is what has traditionally been referred to as the question of standing to sue. </w:t>
      </w:r>
      <w:r>
        <w:rPr>
          <w:sz w:val="20"/>
          <w:szCs w:val="20"/>
        </w:rPr>
        <w:t>. . . .</w:t>
      </w:r>
      <w:r w:rsidRPr="008306E8">
        <w:rPr>
          <w:sz w:val="20"/>
          <w:szCs w:val="20"/>
        </w:rPr>
        <w:t xml:space="preserve"> </w:t>
      </w:r>
    </w:p>
    <w:p w:rsidR="00032A5B" w:rsidRDefault="00032A5B" w:rsidP="00032A5B">
      <w:pPr>
        <w:pStyle w:val="Heading3"/>
        <w:ind w:left="0" w:firstLine="0"/>
        <w:jc w:val="center"/>
        <w:rPr>
          <w:sz w:val="20"/>
        </w:rPr>
      </w:pPr>
    </w:p>
    <w:p w:rsidR="00032A5B" w:rsidRPr="008306E8" w:rsidRDefault="00032A5B" w:rsidP="00032A5B">
      <w:pPr>
        <w:pStyle w:val="Heading3"/>
        <w:ind w:left="0" w:firstLine="0"/>
        <w:jc w:val="center"/>
        <w:rPr>
          <w:sz w:val="20"/>
        </w:rPr>
      </w:pPr>
      <w:r w:rsidRPr="008306E8">
        <w:rPr>
          <w:sz w:val="20"/>
        </w:rPr>
        <w:t>III</w:t>
      </w:r>
    </w:p>
    <w:p w:rsidR="00032A5B" w:rsidRPr="008306E8" w:rsidRDefault="00032A5B" w:rsidP="00032A5B">
      <w:pPr>
        <w:pStyle w:val="NormalWeb"/>
        <w:rPr>
          <w:sz w:val="20"/>
          <w:szCs w:val="20"/>
        </w:rPr>
      </w:pPr>
      <w:r w:rsidRPr="008306E8">
        <w:rPr>
          <w:sz w:val="20"/>
          <w:szCs w:val="20"/>
        </w:rPr>
        <w:t xml:space="preserve">The injury alleged by the Sierra Club will be incurred entirely by reason of the change in the uses to which Mineral King will be put, and the attendant change in the aesthetics and ecology of the area. Thus, in referring to the road to be built through </w:t>
      </w:r>
      <w:smartTag w:uri="urn:schemas-microsoft-com:office:smarttags" w:element="place">
        <w:smartTag w:uri="urn:schemas-microsoft-com:office:smarttags" w:element="PlaceName">
          <w:r w:rsidRPr="008306E8">
            <w:rPr>
              <w:sz w:val="20"/>
              <w:szCs w:val="20"/>
            </w:rPr>
            <w:t>Sequoia</w:t>
          </w:r>
        </w:smartTag>
        <w:r w:rsidRPr="008306E8">
          <w:rPr>
            <w:sz w:val="20"/>
            <w:szCs w:val="20"/>
          </w:rPr>
          <w:t xml:space="preserve"> </w:t>
        </w:r>
        <w:smartTag w:uri="urn:schemas-microsoft-com:office:smarttags" w:element="PlaceType">
          <w:r w:rsidRPr="008306E8">
            <w:rPr>
              <w:sz w:val="20"/>
              <w:szCs w:val="20"/>
            </w:rPr>
            <w:t>National Park</w:t>
          </w:r>
        </w:smartTag>
      </w:smartTag>
      <w:r w:rsidRPr="008306E8">
        <w:rPr>
          <w:sz w:val="20"/>
          <w:szCs w:val="20"/>
        </w:rPr>
        <w:t xml:space="preserve">, the complaint alleged that the development "would destroy or otherwise adversely affect the scenery, natural and historic objects and wildlife of the park and would impair the enjoyment of the park for future generations." </w:t>
      </w:r>
      <w:r>
        <w:rPr>
          <w:sz w:val="20"/>
          <w:szCs w:val="20"/>
        </w:rPr>
        <w:t>. . . .</w:t>
      </w:r>
    </w:p>
    <w:p w:rsidR="00032A5B" w:rsidRPr="008306E8" w:rsidRDefault="00032A5B" w:rsidP="00032A5B">
      <w:pPr>
        <w:pStyle w:val="NormalWeb"/>
        <w:rPr>
          <w:sz w:val="20"/>
          <w:szCs w:val="20"/>
        </w:rPr>
      </w:pPr>
      <w:r w:rsidRPr="008306E8">
        <w:rPr>
          <w:sz w:val="20"/>
          <w:szCs w:val="20"/>
        </w:rPr>
        <w:t xml:space="preserve">The impact of the proposed changes in the environment of Mineral King will not fall indiscriminately upon every citizen. The alleged injury will be felt directly only by those who use Mineral King and </w:t>
      </w:r>
      <w:smartTag w:uri="urn:schemas-microsoft-com:office:smarttags" w:element="place">
        <w:smartTag w:uri="urn:schemas-microsoft-com:office:smarttags" w:element="PlaceName">
          <w:r w:rsidRPr="008306E8">
            <w:rPr>
              <w:sz w:val="20"/>
              <w:szCs w:val="20"/>
            </w:rPr>
            <w:t>Sequoia</w:t>
          </w:r>
        </w:smartTag>
        <w:r w:rsidRPr="008306E8">
          <w:rPr>
            <w:sz w:val="20"/>
            <w:szCs w:val="20"/>
          </w:rPr>
          <w:t xml:space="preserve"> </w:t>
        </w:r>
        <w:smartTag w:uri="urn:schemas-microsoft-com:office:smarttags" w:element="PlaceType">
          <w:r w:rsidRPr="008306E8">
            <w:rPr>
              <w:sz w:val="20"/>
              <w:szCs w:val="20"/>
            </w:rPr>
            <w:t>National Park</w:t>
          </w:r>
        </w:smartTag>
      </w:smartTag>
      <w:r w:rsidRPr="008306E8">
        <w:rPr>
          <w:sz w:val="20"/>
          <w:szCs w:val="20"/>
        </w:rPr>
        <w:t>, and for whom the aesthetic and recreational values of the area will be lessened by the highway and ski resort. The Sierra Club failed to allege that it or its members would be affected in any of their activities or pastimes by the Disney development. Nowhere in the pleadings or affidavits did the Club state that its members use Mineral King for any purpose, much less that they use it in any way that would be significantly affected by the proposed actions of the respondents.</w:t>
      </w:r>
    </w:p>
    <w:p w:rsidR="00032A5B" w:rsidRPr="008306E8" w:rsidRDefault="00032A5B" w:rsidP="00032A5B">
      <w:pPr>
        <w:pStyle w:val="NormalWeb"/>
        <w:rPr>
          <w:sz w:val="20"/>
          <w:szCs w:val="20"/>
        </w:rPr>
      </w:pPr>
      <w:r w:rsidRPr="008306E8">
        <w:rPr>
          <w:sz w:val="20"/>
          <w:szCs w:val="20"/>
        </w:rPr>
        <w:t xml:space="preserve">The Club apparently regarded any allegations of individualized injury as superfluous, on the theory that this was a "public" action involving questions as to the use of natural resources, and that the Club's longstanding concern with and expertise in such matters were sufficient to give it standing as a "representative of the public". </w:t>
      </w:r>
      <w:r>
        <w:rPr>
          <w:sz w:val="20"/>
          <w:szCs w:val="20"/>
        </w:rPr>
        <w:t xml:space="preserve"> </w:t>
      </w:r>
      <w:r w:rsidRPr="008306E8">
        <w:rPr>
          <w:sz w:val="20"/>
          <w:szCs w:val="20"/>
        </w:rPr>
        <w:t xml:space="preserve">This theory reflects a misunderstanding of our cases . </w:t>
      </w:r>
      <w:r>
        <w:rPr>
          <w:sz w:val="20"/>
          <w:szCs w:val="20"/>
        </w:rPr>
        <w:t xml:space="preserve">. . . </w:t>
      </w:r>
    </w:p>
    <w:p w:rsidR="00032A5B" w:rsidRPr="008306E8" w:rsidRDefault="00032A5B" w:rsidP="00032A5B">
      <w:pPr>
        <w:pStyle w:val="NormalWeb"/>
        <w:rPr>
          <w:sz w:val="20"/>
          <w:szCs w:val="20"/>
        </w:rPr>
      </w:pPr>
      <w:r w:rsidRPr="008306E8">
        <w:rPr>
          <w:sz w:val="20"/>
          <w:szCs w:val="20"/>
        </w:rPr>
        <w:t xml:space="preserve">The Sierra Club is a large and long-established organization, with a historic commitment to the cause of protecting our Nation's natural heritage from man's depredations. But if a "special interest" in this subject were enough to entitle the Sierra Club to commence this litigation, there would appear to be no objective basis upon which to disallow a suit by any other bona fide "special interest" organization, however small or short-lived. </w:t>
      </w:r>
      <w:r>
        <w:rPr>
          <w:sz w:val="20"/>
          <w:szCs w:val="20"/>
        </w:rPr>
        <w:t xml:space="preserve"> </w:t>
      </w:r>
      <w:r w:rsidRPr="008306E8">
        <w:rPr>
          <w:sz w:val="20"/>
          <w:szCs w:val="20"/>
        </w:rPr>
        <w:t>And if any group with a bona fide "special interest" could initiate such litigation, it is difficult to perceive why any individual citizen with the</w:t>
      </w:r>
      <w:r w:rsidRPr="008306E8">
        <w:rPr>
          <w:color w:val="005500"/>
          <w:sz w:val="20"/>
          <w:szCs w:val="20"/>
        </w:rPr>
        <w:t xml:space="preserve"> </w:t>
      </w:r>
      <w:r w:rsidRPr="008306E8">
        <w:rPr>
          <w:sz w:val="20"/>
          <w:szCs w:val="20"/>
        </w:rPr>
        <w:t xml:space="preserve">same bona fide special interest would not also be entitled to do so. </w:t>
      </w:r>
    </w:p>
    <w:p w:rsidR="00032A5B" w:rsidRPr="00544AA1" w:rsidRDefault="00032A5B" w:rsidP="00032A5B">
      <w:pPr>
        <w:pStyle w:val="NormalWeb"/>
        <w:rPr>
          <w:sz w:val="20"/>
          <w:szCs w:val="20"/>
        </w:rPr>
      </w:pPr>
      <w:r w:rsidRPr="008306E8">
        <w:rPr>
          <w:sz w:val="20"/>
          <w:szCs w:val="20"/>
        </w:rPr>
        <w:t>The requirement that a party seeking review must allege facts showing that he is himself adversely affected does not insulate executive action from judicial review, nor does it prevent any public interests from being protected through the judicial process.</w:t>
      </w:r>
      <w:r>
        <w:rPr>
          <w:sz w:val="20"/>
          <w:szCs w:val="20"/>
        </w:rPr>
        <w:t xml:space="preserve">  </w:t>
      </w:r>
      <w:r w:rsidRPr="008306E8">
        <w:rPr>
          <w:sz w:val="20"/>
          <w:szCs w:val="20"/>
        </w:rPr>
        <w:t xml:space="preserve">It does serve as at least a rough attempt to put the decision as to whether review will be sought in the hands of those who have a direct stake in the outcome. </w:t>
      </w:r>
      <w:r>
        <w:rPr>
          <w:sz w:val="20"/>
          <w:szCs w:val="20"/>
        </w:rPr>
        <w:t xml:space="preserve"> </w:t>
      </w:r>
      <w:r w:rsidRPr="008306E8">
        <w:rPr>
          <w:sz w:val="20"/>
          <w:szCs w:val="20"/>
        </w:rPr>
        <w:t xml:space="preserve">That goal would be undermined were we to construe the APA to </w:t>
      </w:r>
      <w:r w:rsidRPr="00544AA1">
        <w:rPr>
          <w:sz w:val="20"/>
          <w:szCs w:val="20"/>
        </w:rPr>
        <w:t xml:space="preserve">authorize judicial review at the behest of organizations or individuals who seek to do no more than vindicate their own value preferences through the judicial process.  The principle that the Sierra Club would have us establish in this case would do just that. </w:t>
      </w:r>
    </w:p>
    <w:p w:rsidR="00032A5B" w:rsidRPr="00544AA1" w:rsidRDefault="00032A5B" w:rsidP="00032A5B">
      <w:pPr>
        <w:pStyle w:val="NormalWeb"/>
        <w:rPr>
          <w:sz w:val="20"/>
          <w:szCs w:val="20"/>
        </w:rPr>
      </w:pPr>
      <w:r w:rsidRPr="00544AA1">
        <w:rPr>
          <w:sz w:val="20"/>
          <w:szCs w:val="20"/>
        </w:rPr>
        <w:t>As we conclude that the Court of Appeals was correct in its holding that the Sierra Club lacked standing to maintain this action, we do not reach any other questions presented in the petition, and we intimate no view on the merits of the complaint.  The judgment is Affirmed.</w:t>
      </w:r>
    </w:p>
    <w:p w:rsidR="00032A5B" w:rsidRPr="00544AA1" w:rsidRDefault="00032A5B" w:rsidP="00032A5B">
      <w:r w:rsidRPr="00544AA1">
        <w:rPr>
          <w:bCs/>
        </w:rPr>
        <w:t xml:space="preserve">MR. </w:t>
      </w:r>
      <w:r w:rsidRPr="00544AA1">
        <w:t xml:space="preserve">JUSTICE POWELL and MR. JUSTICE REHNQUIST took no part in the consideration . . . of this case. </w:t>
      </w:r>
    </w:p>
    <w:p w:rsidR="00032A5B" w:rsidRDefault="00032A5B" w:rsidP="00032A5B">
      <w:pPr>
        <w:rPr>
          <w:bCs/>
        </w:rPr>
      </w:pPr>
    </w:p>
    <w:p w:rsidR="00032A5B" w:rsidRDefault="00032A5B" w:rsidP="00032A5B">
      <w:pPr>
        <w:rPr>
          <w:bCs/>
        </w:rPr>
      </w:pPr>
    </w:p>
    <w:p w:rsidR="00032A5B" w:rsidRDefault="00032A5B" w:rsidP="00032A5B">
      <w:pPr>
        <w:jc w:val="center"/>
        <w:rPr>
          <w:bCs/>
          <w:sz w:val="18"/>
          <w:szCs w:val="18"/>
        </w:rPr>
      </w:pPr>
      <w:r w:rsidRPr="00544AA1">
        <w:rPr>
          <w:bCs/>
          <w:sz w:val="18"/>
          <w:szCs w:val="18"/>
        </w:rPr>
        <w:t>(</w:t>
      </w:r>
      <w:r>
        <w:rPr>
          <w:bCs/>
          <w:sz w:val="18"/>
          <w:szCs w:val="18"/>
        </w:rPr>
        <w:t xml:space="preserve">dissent </w:t>
      </w:r>
      <w:r w:rsidRPr="00544AA1">
        <w:rPr>
          <w:bCs/>
          <w:sz w:val="18"/>
          <w:szCs w:val="18"/>
        </w:rPr>
        <w:t>on next page)</w:t>
      </w:r>
    </w:p>
    <w:p w:rsidR="00032A5B" w:rsidRPr="008306E8" w:rsidRDefault="00032A5B" w:rsidP="00032A5B">
      <w:r>
        <w:rPr>
          <w:bCs/>
        </w:rPr>
        <w:br w:type="page"/>
      </w:r>
      <w:r w:rsidRPr="00476B59">
        <w:rPr>
          <w:bCs/>
        </w:rPr>
        <w:lastRenderedPageBreak/>
        <w:t xml:space="preserve">MR. </w:t>
      </w:r>
      <w:r w:rsidRPr="008306E8">
        <w:t>JUSTICE DOUGLAS, dissenting.</w:t>
      </w:r>
    </w:p>
    <w:p w:rsidR="00032A5B" w:rsidRPr="008306E8" w:rsidRDefault="00032A5B" w:rsidP="00032A5B">
      <w:pPr>
        <w:pStyle w:val="NormalWeb"/>
        <w:rPr>
          <w:sz w:val="20"/>
          <w:szCs w:val="20"/>
        </w:rPr>
      </w:pPr>
      <w:r w:rsidRPr="008306E8">
        <w:rPr>
          <w:sz w:val="20"/>
          <w:szCs w:val="20"/>
        </w:rPr>
        <w:t xml:space="preserve">I share the views of my Brother BLACKMUN and would reverse the judgment below. </w:t>
      </w:r>
    </w:p>
    <w:p w:rsidR="00032A5B" w:rsidRPr="008306E8" w:rsidRDefault="00032A5B" w:rsidP="00032A5B">
      <w:pPr>
        <w:pStyle w:val="NormalWeb"/>
        <w:rPr>
          <w:sz w:val="20"/>
          <w:szCs w:val="20"/>
        </w:rPr>
      </w:pPr>
      <w:r w:rsidRPr="008306E8">
        <w:rPr>
          <w:sz w:val="20"/>
          <w:szCs w:val="20"/>
        </w:rPr>
        <w:t xml:space="preserve">The critical question of "standing" would be simplified and also put neatly in focus if we fashioned a federal rule that allowed environmental issues to be litigated before federal agencies or federal courts in the name of the inanimate object about to be despoiled, defaced, or invaded by roads and bulldozers and where injury is the subject of public outrage. </w:t>
      </w:r>
      <w:r>
        <w:rPr>
          <w:sz w:val="20"/>
          <w:szCs w:val="20"/>
        </w:rPr>
        <w:t xml:space="preserve"> </w:t>
      </w:r>
      <w:r w:rsidRPr="008306E8">
        <w:rPr>
          <w:sz w:val="20"/>
          <w:szCs w:val="20"/>
        </w:rPr>
        <w:t>Contemporary public concern</w:t>
      </w:r>
      <w:r w:rsidRPr="008306E8">
        <w:rPr>
          <w:color w:val="005500"/>
          <w:sz w:val="20"/>
          <w:szCs w:val="20"/>
        </w:rPr>
        <w:t xml:space="preserve"> </w:t>
      </w:r>
      <w:r w:rsidRPr="008306E8">
        <w:rPr>
          <w:sz w:val="20"/>
          <w:szCs w:val="20"/>
        </w:rPr>
        <w:t xml:space="preserve">for protecting nature's ecological equilibrium should lead to the conferral of standing upon environmental objects to sue for their own preservation. </w:t>
      </w:r>
      <w:r>
        <w:rPr>
          <w:sz w:val="20"/>
          <w:szCs w:val="20"/>
        </w:rPr>
        <w:t xml:space="preserve"> . . . </w:t>
      </w:r>
      <w:r w:rsidRPr="008306E8">
        <w:rPr>
          <w:sz w:val="20"/>
          <w:szCs w:val="20"/>
        </w:rPr>
        <w:t xml:space="preserve"> This suit would therefore be more properly labeled as Mineral King v. Morton. </w:t>
      </w:r>
    </w:p>
    <w:p w:rsidR="00032A5B" w:rsidRPr="008306E8" w:rsidRDefault="00032A5B" w:rsidP="00032A5B">
      <w:pPr>
        <w:pStyle w:val="NormalWeb"/>
        <w:rPr>
          <w:sz w:val="20"/>
          <w:szCs w:val="20"/>
        </w:rPr>
      </w:pPr>
      <w:r w:rsidRPr="008306E8">
        <w:rPr>
          <w:sz w:val="20"/>
          <w:szCs w:val="20"/>
        </w:rPr>
        <w:t>Inanimate objects are sometimes parties in litigation. A ship has a legal personality, a fiction found useful for maritime purposes.</w:t>
      </w:r>
      <w:r>
        <w:rPr>
          <w:sz w:val="20"/>
          <w:szCs w:val="20"/>
        </w:rPr>
        <w:t xml:space="preserve">  The corporation sole —</w:t>
      </w:r>
      <w:r w:rsidRPr="008306E8">
        <w:rPr>
          <w:sz w:val="20"/>
          <w:szCs w:val="20"/>
        </w:rPr>
        <w:t xml:space="preserve"> a creature of ecclesiastical law </w:t>
      </w:r>
      <w:r>
        <w:rPr>
          <w:sz w:val="20"/>
          <w:szCs w:val="20"/>
        </w:rPr>
        <w:t>—</w:t>
      </w:r>
      <w:r w:rsidRPr="008306E8">
        <w:rPr>
          <w:sz w:val="20"/>
          <w:szCs w:val="20"/>
        </w:rPr>
        <w:t xml:space="preserve"> is an acceptable adversary and large fortunes ride on its cases.</w:t>
      </w:r>
      <w:r>
        <w:rPr>
          <w:sz w:val="20"/>
          <w:szCs w:val="20"/>
        </w:rPr>
        <w:t xml:space="preserve">  </w:t>
      </w:r>
      <w:r w:rsidRPr="008306E8">
        <w:rPr>
          <w:sz w:val="20"/>
          <w:szCs w:val="20"/>
        </w:rPr>
        <w:t>The ordinary corporation is a "person" for purposes of the adjudicatory processes,</w:t>
      </w:r>
      <w:r w:rsidRPr="008306E8">
        <w:rPr>
          <w:color w:val="005500"/>
          <w:sz w:val="20"/>
          <w:szCs w:val="20"/>
        </w:rPr>
        <w:t xml:space="preserve"> </w:t>
      </w:r>
      <w:r w:rsidRPr="008306E8">
        <w:rPr>
          <w:sz w:val="20"/>
          <w:szCs w:val="20"/>
        </w:rPr>
        <w:t>whether it represents proprietary, spiritual, a</w:t>
      </w:r>
      <w:r>
        <w:rPr>
          <w:sz w:val="20"/>
          <w:szCs w:val="20"/>
        </w:rPr>
        <w:t>esthetic, or charitable causes.</w:t>
      </w:r>
    </w:p>
    <w:p w:rsidR="00032A5B" w:rsidRPr="008306E8" w:rsidRDefault="00032A5B" w:rsidP="00032A5B">
      <w:pPr>
        <w:pStyle w:val="NormalWeb"/>
        <w:rPr>
          <w:sz w:val="20"/>
          <w:szCs w:val="20"/>
        </w:rPr>
      </w:pPr>
      <w:r w:rsidRPr="008306E8">
        <w:rPr>
          <w:sz w:val="20"/>
          <w:szCs w:val="20"/>
        </w:rPr>
        <w:t xml:space="preserve">So it should be as respects valleys, alpine meadows, rivers, lakes, estuaries, beaches, ridges, groves of trees, swampland, or even air that feels the destructive pressures of modern technology and modern life. </w:t>
      </w:r>
      <w:r>
        <w:rPr>
          <w:sz w:val="20"/>
          <w:szCs w:val="20"/>
        </w:rPr>
        <w:t xml:space="preserve"> </w:t>
      </w:r>
      <w:r w:rsidRPr="008306E8">
        <w:rPr>
          <w:sz w:val="20"/>
          <w:szCs w:val="20"/>
        </w:rPr>
        <w:t xml:space="preserve">The river, for example, is the living symbol of all the life it sustains or nourishes </w:t>
      </w:r>
      <w:r>
        <w:rPr>
          <w:sz w:val="20"/>
          <w:szCs w:val="20"/>
        </w:rPr>
        <w:t>—</w:t>
      </w:r>
      <w:r w:rsidRPr="008306E8">
        <w:rPr>
          <w:sz w:val="20"/>
          <w:szCs w:val="20"/>
        </w:rPr>
        <w:t xml:space="preserve"> fish, aquatic insects, water ouzels, otter, fisher, deer, elk, bear, and all other animals, including man, who are dependent on it or who enjoy it for its sight, its sound, or its life. The river as plaintiff speaks for the ecological unit of life that is part of it. Those people who have a meaningful relation to that body of water </w:t>
      </w:r>
      <w:r>
        <w:rPr>
          <w:sz w:val="20"/>
          <w:szCs w:val="20"/>
        </w:rPr>
        <w:t>—</w:t>
      </w:r>
      <w:r w:rsidRPr="008306E8">
        <w:rPr>
          <w:sz w:val="20"/>
          <w:szCs w:val="20"/>
        </w:rPr>
        <w:t xml:space="preserve"> whether it be a fisherman, a canoeist, a zoologist, or a logger </w:t>
      </w:r>
      <w:r>
        <w:rPr>
          <w:sz w:val="20"/>
          <w:szCs w:val="20"/>
        </w:rPr>
        <w:t>—</w:t>
      </w:r>
      <w:r w:rsidRPr="008306E8">
        <w:rPr>
          <w:sz w:val="20"/>
          <w:szCs w:val="20"/>
        </w:rPr>
        <w:t xml:space="preserve"> must be able to speak for the values which the river represents and which are threatened with destruction. </w:t>
      </w:r>
      <w:r>
        <w:rPr>
          <w:sz w:val="20"/>
          <w:szCs w:val="20"/>
        </w:rPr>
        <w:t xml:space="preserve">. . . </w:t>
      </w:r>
    </w:p>
    <w:p w:rsidR="00032A5B" w:rsidRPr="008306E8" w:rsidRDefault="00032A5B" w:rsidP="00032A5B">
      <w:pPr>
        <w:pStyle w:val="NormalWeb"/>
        <w:rPr>
          <w:sz w:val="20"/>
          <w:szCs w:val="20"/>
        </w:rPr>
      </w:pPr>
      <w:r w:rsidRPr="008306E8">
        <w:rPr>
          <w:sz w:val="20"/>
          <w:szCs w:val="20"/>
        </w:rPr>
        <w:t>The voice of the inanimate object, therefore, should not be stilled. That does not mean that the judiciary takes over the managerial functions from the federal agency. It merely means that before these priceless bits of Americana (such as a valley, an alpine meadow, a river, or a lake) are forever lost or are so transformed as to be reduced to the eventual rubble of our urban environment, the voice of the existing beneficiaries of these environmental wonders should be heard.</w:t>
      </w:r>
    </w:p>
    <w:p w:rsidR="00032A5B" w:rsidRPr="008306E8" w:rsidRDefault="00032A5B" w:rsidP="00032A5B">
      <w:pPr>
        <w:pStyle w:val="NormalWeb"/>
        <w:rPr>
          <w:sz w:val="20"/>
          <w:szCs w:val="20"/>
        </w:rPr>
      </w:pPr>
      <w:r w:rsidRPr="008306E8">
        <w:rPr>
          <w:sz w:val="20"/>
          <w:szCs w:val="20"/>
        </w:rPr>
        <w:t>Perhaps they will not win. Perhaps the bulldozers of "progress" will plow under all the aesthetic wonders of this beautiful land.</w:t>
      </w:r>
      <w:r>
        <w:rPr>
          <w:sz w:val="20"/>
          <w:szCs w:val="20"/>
        </w:rPr>
        <w:t xml:space="preserve"> </w:t>
      </w:r>
      <w:r w:rsidRPr="008306E8">
        <w:rPr>
          <w:sz w:val="20"/>
          <w:szCs w:val="20"/>
        </w:rPr>
        <w:t xml:space="preserve"> That is not the present question. </w:t>
      </w:r>
      <w:r>
        <w:rPr>
          <w:sz w:val="20"/>
          <w:szCs w:val="20"/>
        </w:rPr>
        <w:t xml:space="preserve"> </w:t>
      </w:r>
      <w:r w:rsidRPr="008306E8">
        <w:rPr>
          <w:sz w:val="20"/>
          <w:szCs w:val="20"/>
        </w:rPr>
        <w:t xml:space="preserve">The sole question is, who has standing to be heard? </w:t>
      </w:r>
    </w:p>
    <w:p w:rsidR="00032A5B" w:rsidRPr="008306E8" w:rsidRDefault="00032A5B" w:rsidP="00032A5B">
      <w:pPr>
        <w:pStyle w:val="NormalWeb"/>
        <w:rPr>
          <w:sz w:val="20"/>
          <w:szCs w:val="20"/>
        </w:rPr>
      </w:pPr>
      <w:r>
        <w:rPr>
          <w:sz w:val="20"/>
          <w:szCs w:val="20"/>
        </w:rPr>
        <w:t>. . . .</w:t>
      </w:r>
      <w:r w:rsidRPr="008306E8">
        <w:rPr>
          <w:sz w:val="20"/>
          <w:szCs w:val="20"/>
        </w:rPr>
        <w:t xml:space="preserve"> Those who merely are caught up in environmental news or propaganda and flock to defend these waters or areas may be treated differently. </w:t>
      </w:r>
      <w:r>
        <w:rPr>
          <w:sz w:val="20"/>
          <w:szCs w:val="20"/>
        </w:rPr>
        <w:t xml:space="preserve"> </w:t>
      </w:r>
      <w:r w:rsidRPr="008306E8">
        <w:rPr>
          <w:sz w:val="20"/>
          <w:szCs w:val="20"/>
        </w:rPr>
        <w:t xml:space="preserve">That is why these environmental issues should be tendered by the inanimate object itself. </w:t>
      </w:r>
      <w:r>
        <w:rPr>
          <w:sz w:val="20"/>
          <w:szCs w:val="20"/>
        </w:rPr>
        <w:t xml:space="preserve"> </w:t>
      </w:r>
      <w:r w:rsidRPr="008306E8">
        <w:rPr>
          <w:sz w:val="20"/>
          <w:szCs w:val="20"/>
        </w:rPr>
        <w:t xml:space="preserve">Then there will be assurances that all of the forms of life which it represents will stand before the court </w:t>
      </w:r>
      <w:r>
        <w:rPr>
          <w:sz w:val="20"/>
          <w:szCs w:val="20"/>
        </w:rPr>
        <w:t>—</w:t>
      </w:r>
      <w:r w:rsidRPr="008306E8">
        <w:rPr>
          <w:sz w:val="20"/>
          <w:szCs w:val="20"/>
        </w:rPr>
        <w:t xml:space="preserve"> the pileated woodpecker as well as the coyote and bear, the lemmings as well as the trout in the streams.</w:t>
      </w:r>
      <w:r>
        <w:rPr>
          <w:sz w:val="20"/>
          <w:szCs w:val="20"/>
        </w:rPr>
        <w:t xml:space="preserve"> </w:t>
      </w:r>
      <w:r w:rsidRPr="008306E8">
        <w:rPr>
          <w:sz w:val="20"/>
          <w:szCs w:val="20"/>
        </w:rPr>
        <w:t xml:space="preserve"> Those inarticulate members of the ecological group cannot speak. </w:t>
      </w:r>
      <w:r>
        <w:rPr>
          <w:sz w:val="20"/>
          <w:szCs w:val="20"/>
        </w:rPr>
        <w:t xml:space="preserve"> </w:t>
      </w:r>
      <w:r w:rsidRPr="008306E8">
        <w:rPr>
          <w:sz w:val="20"/>
          <w:szCs w:val="20"/>
        </w:rPr>
        <w:t xml:space="preserve">But those people who have so frequented the place as to know its values and wonders will be able to speak for the entire ecological community. </w:t>
      </w:r>
      <w:r>
        <w:rPr>
          <w:sz w:val="20"/>
          <w:szCs w:val="20"/>
        </w:rPr>
        <w:t xml:space="preserve">. . . </w:t>
      </w:r>
    </w:p>
    <w:p w:rsidR="00032A5B" w:rsidRDefault="00032A5B" w:rsidP="00032A5B">
      <w:pPr>
        <w:pStyle w:val="NormalWeb"/>
        <w:rPr>
          <w:sz w:val="20"/>
          <w:szCs w:val="20"/>
        </w:rPr>
      </w:pPr>
      <w:r w:rsidRPr="008306E8">
        <w:rPr>
          <w:sz w:val="20"/>
          <w:szCs w:val="20"/>
        </w:rPr>
        <w:t>That, as I see it, is the issue of "standing" in the present case and controversy.</w:t>
      </w:r>
    </w:p>
    <w:p w:rsidR="00032A5B" w:rsidRDefault="00032A5B" w:rsidP="00032A5B">
      <w:pPr>
        <w:spacing w:before="120"/>
        <w:jc w:val="center"/>
      </w:pPr>
      <w:r>
        <w:br w:type="page"/>
      </w:r>
      <w:r>
        <w:lastRenderedPageBreak/>
        <w:t xml:space="preserve"> WORLD-WIDE VOLKSWAGEN CORP. ET AL. v. WOODSON,</w:t>
      </w:r>
    </w:p>
    <w:p w:rsidR="00032A5B" w:rsidRDefault="00032A5B" w:rsidP="00032A5B">
      <w:pPr>
        <w:pStyle w:val="BodyText"/>
      </w:pPr>
      <w:r>
        <w:t xml:space="preserve">DISTRICT JUDGE OF </w:t>
      </w:r>
      <w:smartTag w:uri="urn:schemas-microsoft-com:office:smarttags" w:element="place">
        <w:smartTag w:uri="urn:schemas-microsoft-com:office:smarttags" w:element="City">
          <w:r>
            <w:t>CREEK COUNTY</w:t>
          </w:r>
        </w:smartTag>
        <w:r>
          <w:t xml:space="preserve">, </w:t>
        </w:r>
        <w:smartTag w:uri="urn:schemas-microsoft-com:office:smarttags" w:element="State">
          <w:r>
            <w:t>OKLAHOMA</w:t>
          </w:r>
        </w:smartTag>
      </w:smartTag>
      <w:r>
        <w:t>, ET AL.</w:t>
      </w:r>
    </w:p>
    <w:p w:rsidR="00032A5B" w:rsidRDefault="00032A5B" w:rsidP="00032A5B">
      <w:pPr>
        <w:ind w:left="300" w:right="300"/>
        <w:jc w:val="center"/>
      </w:pPr>
    </w:p>
    <w:p w:rsidR="00032A5B" w:rsidRDefault="00032A5B" w:rsidP="00032A5B">
      <w:pPr>
        <w:ind w:left="300" w:right="300"/>
        <w:jc w:val="center"/>
      </w:pPr>
    </w:p>
    <w:p w:rsidR="00032A5B" w:rsidRDefault="00032A5B" w:rsidP="00032A5B">
      <w:pPr>
        <w:ind w:left="300" w:right="300"/>
        <w:jc w:val="center"/>
      </w:pPr>
      <w:r>
        <w:t xml:space="preserve">Supreme Court of the </w:t>
      </w:r>
      <w:smartTag w:uri="urn:schemas-microsoft-com:office:smarttags" w:element="place">
        <w:smartTag w:uri="urn:schemas-microsoft-com:office:smarttags" w:element="country-region">
          <w:r>
            <w:t>United States</w:t>
          </w:r>
        </w:smartTag>
      </w:smartTag>
    </w:p>
    <w:p w:rsidR="00032A5B" w:rsidRDefault="00032A5B" w:rsidP="00032A5B">
      <w:pPr>
        <w:ind w:left="300" w:right="300"/>
        <w:jc w:val="center"/>
      </w:pPr>
    </w:p>
    <w:p w:rsidR="00032A5B" w:rsidRDefault="00032A5B" w:rsidP="00032A5B">
      <w:pPr>
        <w:ind w:left="300" w:right="300"/>
        <w:jc w:val="center"/>
      </w:pPr>
      <w:r>
        <w:t xml:space="preserve">444 </w:t>
      </w:r>
      <w:smartTag w:uri="urn:schemas-microsoft-com:office:smarttags" w:element="place">
        <w:smartTag w:uri="urn:schemas-microsoft-com:office:smarttags" w:element="country-region">
          <w:r>
            <w:t>U.S.</w:t>
          </w:r>
        </w:smartTag>
      </w:smartTag>
      <w:r>
        <w:t xml:space="preserve"> 286</w:t>
      </w:r>
    </w:p>
    <w:p w:rsidR="00032A5B" w:rsidRDefault="00032A5B" w:rsidP="00032A5B">
      <w:pPr>
        <w:ind w:left="300" w:right="300"/>
        <w:jc w:val="center"/>
      </w:pPr>
    </w:p>
    <w:p w:rsidR="00032A5B" w:rsidRDefault="00032A5B" w:rsidP="00032A5B">
      <w:pPr>
        <w:ind w:left="300" w:right="300"/>
        <w:jc w:val="center"/>
      </w:pPr>
      <w:smartTag w:uri="urn:schemas-microsoft-com:office:smarttags" w:element="date">
        <w:smartTagPr>
          <w:attr w:name="Month" w:val="1"/>
          <w:attr w:name="Day" w:val="21"/>
          <w:attr w:name="Year" w:val="1980"/>
        </w:smartTagPr>
        <w:r>
          <w:t>January 21, 1980</w:t>
        </w:r>
      </w:smartTag>
      <w:r>
        <w:t>, Decided</w:t>
      </w:r>
    </w:p>
    <w:p w:rsidR="00032A5B" w:rsidRDefault="00032A5B" w:rsidP="00032A5B">
      <w:pPr>
        <w:ind w:left="300" w:right="300"/>
        <w:jc w:val="center"/>
      </w:pPr>
    </w:p>
    <w:p w:rsidR="00032A5B" w:rsidRDefault="00032A5B" w:rsidP="00032A5B">
      <w:pPr>
        <w:jc w:val="both"/>
      </w:pPr>
    </w:p>
    <w:p w:rsidR="00032A5B" w:rsidRDefault="00032A5B" w:rsidP="00032A5B">
      <w:pPr>
        <w:jc w:val="both"/>
      </w:pPr>
    </w:p>
    <w:p w:rsidR="00032A5B" w:rsidRDefault="00032A5B" w:rsidP="00032A5B">
      <w:pPr>
        <w:jc w:val="both"/>
      </w:pPr>
    </w:p>
    <w:p w:rsidR="00032A5B" w:rsidRDefault="00032A5B" w:rsidP="00032A5B">
      <w:pPr>
        <w:jc w:val="both"/>
      </w:pPr>
      <w:r>
        <w:t>WHITE, J., delivered the opinion of the Court, in which BURGER, C. J., and STEWART, POWELL, REHNQUIST, and STEVENS, JJ., joined.  BRENNAN, J., filed a dissenting opinion.  MARSHALL, J., filed a dissenting opinion, in which BLACKMUN, J., joined.  BLACKMUN, J., filed a dissenting opinion.</w:t>
      </w:r>
    </w:p>
    <w:p w:rsidR="00032A5B" w:rsidRDefault="00032A5B" w:rsidP="00032A5B">
      <w:pPr>
        <w:jc w:val="both"/>
      </w:pPr>
    </w:p>
    <w:p w:rsidR="00032A5B" w:rsidRDefault="00032A5B" w:rsidP="00032A5B">
      <w:pPr>
        <w:jc w:val="both"/>
      </w:pPr>
    </w:p>
    <w:p w:rsidR="00032A5B" w:rsidRDefault="00032A5B" w:rsidP="00032A5B">
      <w:pPr>
        <w:jc w:val="both"/>
      </w:pPr>
      <w:r>
        <w:t xml:space="preserve">OPINION: MR. JUSTICE WHITE delivered the opinion of the Court.  </w:t>
      </w:r>
    </w:p>
    <w:p w:rsidR="00032A5B" w:rsidRDefault="00032A5B" w:rsidP="00032A5B">
      <w:pPr>
        <w:jc w:val="both"/>
      </w:pPr>
    </w:p>
    <w:p w:rsidR="00032A5B" w:rsidRDefault="00032A5B" w:rsidP="00032A5B">
      <w:pPr>
        <w:jc w:val="both"/>
      </w:pPr>
      <w:r>
        <w:t xml:space="preserve">The issue before us is whether, consistently with the Due Process Clause of the Fourteenth Amendment, an Oklahoma court may exercise in personam jurisdiction over a nonresident automobile retailer and its wholesale distributor in a products-liability action, when the defendants' only connection with Oklahoma is the fact that an automobile sold in New York to New York residents became involved in an accident in Oklahoma.  </w:t>
      </w:r>
    </w:p>
    <w:p w:rsidR="00032A5B" w:rsidRDefault="00032A5B" w:rsidP="00032A5B">
      <w:pPr>
        <w:jc w:val="both"/>
      </w:pPr>
    </w:p>
    <w:p w:rsidR="00032A5B" w:rsidRDefault="00032A5B" w:rsidP="00032A5B">
      <w:pPr>
        <w:pStyle w:val="BodyText2"/>
      </w:pPr>
      <w:r>
        <w:t xml:space="preserve">Respondents Harry and Kay Robinson purchased a new Audi automobile from petitioner Seaway Volkswagen, Inc. (Seaway), in Massena, N. Y., in 1976.  The following year the Robinson family, who resided in </w:t>
      </w:r>
      <w:smartTag w:uri="urn:schemas-microsoft-com:office:smarttags" w:element="State">
        <w:r>
          <w:t>New York</w:t>
        </w:r>
      </w:smartTag>
      <w:r>
        <w:t xml:space="preserve">, left that State for a new home in </w:t>
      </w:r>
      <w:smartTag w:uri="urn:schemas-microsoft-com:office:smarttags" w:element="place">
        <w:smartTag w:uri="urn:schemas-microsoft-com:office:smarttags" w:element="State">
          <w:r>
            <w:t>Arizona</w:t>
          </w:r>
        </w:smartTag>
      </w:smartTag>
      <w:r>
        <w:t xml:space="preserve">.  As they passed through the State of </w:t>
      </w:r>
      <w:smartTag w:uri="urn:schemas-microsoft-com:office:smarttags" w:element="place">
        <w:smartTag w:uri="urn:schemas-microsoft-com:office:smarttags" w:element="State">
          <w:r>
            <w:t>Oklahoma</w:t>
          </w:r>
        </w:smartTag>
      </w:smartTag>
      <w:r>
        <w:t xml:space="preserve">, another car struck their Audi in the rear, causing a fire which severely burned Kay Robinson and her two children.  The Robinsons subsequently brought a products-liability action in the District Court for </w:t>
      </w:r>
      <w:smartTag w:uri="urn:schemas-microsoft-com:office:smarttags" w:element="place">
        <w:smartTag w:uri="urn:schemas-microsoft-com:office:smarttags" w:element="City">
          <w:r>
            <w:t>Creek County</w:t>
          </w:r>
        </w:smartTag>
        <w:r>
          <w:t xml:space="preserve">, </w:t>
        </w:r>
        <w:smartTag w:uri="urn:schemas-microsoft-com:office:smarttags" w:element="State">
          <w:r>
            <w:t>Okla.</w:t>
          </w:r>
        </w:smartTag>
      </w:smartTag>
      <w:r>
        <w:t xml:space="preserve">, claiming that their injuries resulted from defective design and placement of the Audi's gas tank and fuel system. They joined as defendants the automobile's manufacturer, Audi NSU Auto Union Aktiengesellschaft (Audi); its importer,  Volkswagen of America, Inc. (Volkswagen); its regional distributor, petitioner World-Wide Volkswagen Corp. (World-Wide); and its retail dealer, petitioner Seaway.  Seaway and World-Wide entered special appearances, claiming that </w:t>
      </w:r>
      <w:smartTag w:uri="urn:schemas-microsoft-com:office:smarttags" w:element="place">
        <w:smartTag w:uri="urn:schemas-microsoft-com:office:smarttags" w:element="State">
          <w:r>
            <w:t>Oklahoma</w:t>
          </w:r>
        </w:smartTag>
      </w:smartTag>
      <w:r>
        <w:t>'s exercise of jurisdiction over them would offend the limitations on the State's jurisdiction imposed by the Due Process Clause of the Fourteenth Amendment.</w:t>
      </w:r>
    </w:p>
    <w:p w:rsidR="00032A5B" w:rsidRDefault="00032A5B" w:rsidP="00032A5B">
      <w:pPr>
        <w:jc w:val="both"/>
      </w:pPr>
    </w:p>
    <w:p w:rsidR="00032A5B" w:rsidRDefault="00032A5B" w:rsidP="00032A5B">
      <w:pPr>
        <w:jc w:val="both"/>
      </w:pPr>
      <w:r>
        <w:t xml:space="preserve">The facts presented to the District Court showed that World-Wide is incorporated and has its business office in </w:t>
      </w:r>
      <w:smartTag w:uri="urn:schemas-microsoft-com:office:smarttags" w:element="place">
        <w:smartTag w:uri="urn:schemas-microsoft-com:office:smarttags" w:element="State">
          <w:r>
            <w:t>New York</w:t>
          </w:r>
        </w:smartTag>
      </w:smartTag>
      <w:r>
        <w:t xml:space="preserve">.  It distributes vehicles, parts, and accessories, under contract with Volkswagen, to retail dealers in </w:t>
      </w:r>
      <w:smartTag w:uri="urn:schemas-microsoft-com:office:smarttags" w:element="City">
        <w:r>
          <w:t>New York</w:t>
        </w:r>
      </w:smartTag>
      <w:r>
        <w:t xml:space="preserve">, </w:t>
      </w:r>
      <w:smartTag w:uri="urn:schemas-microsoft-com:office:smarttags" w:element="State">
        <w:r>
          <w:t>New Jersey</w:t>
        </w:r>
      </w:smartTag>
      <w:r>
        <w:t xml:space="preserve">, and </w:t>
      </w:r>
      <w:smartTag w:uri="urn:schemas-microsoft-com:office:smarttags" w:element="place">
        <w:smartTag w:uri="urn:schemas-microsoft-com:office:smarttags" w:element="State">
          <w:r>
            <w:t>Connecticut</w:t>
          </w:r>
        </w:smartTag>
      </w:smartTag>
      <w:r>
        <w:t xml:space="preserve">.  Seaway, one of these retail dealers, is incorporated and has its place of business in </w:t>
      </w:r>
      <w:smartTag w:uri="urn:schemas-microsoft-com:office:smarttags" w:element="place">
        <w:smartTag w:uri="urn:schemas-microsoft-com:office:smarttags" w:element="State">
          <w:r>
            <w:t>New York</w:t>
          </w:r>
        </w:smartTag>
      </w:smartTag>
      <w:r>
        <w:t xml:space="preserve">.  Insofar as the record reveals, Seaway and World-Wide are fully independent corporations whose relations with each other and with Volkswagen and Audi are contractual only.  Respondents adduced no evidence that either World-Wide or Seaway does any business in </w:t>
      </w:r>
      <w:smartTag w:uri="urn:schemas-microsoft-com:office:smarttags" w:element="State">
        <w:r>
          <w:t>Oklahoma</w:t>
        </w:r>
      </w:smartTag>
      <w:r>
        <w:t xml:space="preserve">, ships or sells any products to or in that State, has an agent to receive process there, or purchases advertisements in any media calculated to reach </w:t>
      </w:r>
      <w:smartTag w:uri="urn:schemas-microsoft-com:office:smarttags" w:element="State">
        <w:smartTag w:uri="urn:schemas-microsoft-com:office:smarttags" w:element="place">
          <w:r>
            <w:t>Oklahoma</w:t>
          </w:r>
        </w:smartTag>
      </w:smartTag>
      <w:r>
        <w:t xml:space="preserve">.  In fact, as respondents' counsel conceded at oral argument, there was no showing that any automobile sold by World-Wide or Seaway has ever entered </w:t>
      </w:r>
      <w:smartTag w:uri="urn:schemas-microsoft-com:office:smarttags" w:element="place">
        <w:smartTag w:uri="urn:schemas-microsoft-com:office:smarttags" w:element="State">
          <w:r>
            <w:t>Oklahoma</w:t>
          </w:r>
        </w:smartTag>
      </w:smartTag>
      <w:r>
        <w:t xml:space="preserve"> with the single exception of the vehicle involved in the present case.</w:t>
      </w:r>
    </w:p>
    <w:p w:rsidR="00032A5B" w:rsidRDefault="00032A5B" w:rsidP="00032A5B">
      <w:pPr>
        <w:jc w:val="both"/>
      </w:pPr>
    </w:p>
    <w:p w:rsidR="00032A5B" w:rsidRDefault="00032A5B" w:rsidP="00032A5B">
      <w:pPr>
        <w:jc w:val="both"/>
      </w:pPr>
      <w:r>
        <w:t xml:space="preserve">Despite the apparent paucity of contacts between petitioners and </w:t>
      </w:r>
      <w:smartTag w:uri="urn:schemas-microsoft-com:office:smarttags" w:element="place">
        <w:smartTag w:uri="urn:schemas-microsoft-com:office:smarttags" w:element="State">
          <w:r>
            <w:t>Oklahoma</w:t>
          </w:r>
        </w:smartTag>
      </w:smartTag>
      <w:r>
        <w:t xml:space="preserve">, the District Court rejected their constitutional claim and reaffirmed that ruling in denying petitioners' motion for reconsideration. . . . </w:t>
      </w:r>
    </w:p>
    <w:p w:rsidR="00032A5B" w:rsidRDefault="00032A5B" w:rsidP="00032A5B">
      <w:pPr>
        <w:jc w:val="both"/>
      </w:pPr>
    </w:p>
    <w:p w:rsidR="00032A5B" w:rsidRDefault="00032A5B" w:rsidP="00032A5B">
      <w:pPr>
        <w:jc w:val="both"/>
      </w:pPr>
      <w:r>
        <w:t>We granted certiorari to consider an important constitutional question with respect to state-court jurisdiction and to resolve a conflict between the Supreme Court of Oklahoma and the highest courts of at least four other States.  We reverse.</w:t>
      </w:r>
    </w:p>
    <w:p w:rsidR="00032A5B" w:rsidRDefault="00032A5B" w:rsidP="00032A5B">
      <w:pPr>
        <w:jc w:val="both"/>
      </w:pPr>
    </w:p>
    <w:p w:rsidR="00032A5B" w:rsidRDefault="00032A5B" w:rsidP="00032A5B">
      <w:pPr>
        <w:jc w:val="both"/>
      </w:pPr>
    </w:p>
    <w:p w:rsidR="00032A5B" w:rsidRDefault="00032A5B" w:rsidP="00032A5B">
      <w:pPr>
        <w:jc w:val="both"/>
      </w:pPr>
      <w:r>
        <w:t>II</w:t>
      </w:r>
      <w:r>
        <w:tab/>
        <w:t xml:space="preserve">The Due Process Clause of the Fourteenth Amendment limits the power of a state court to render a valid personal judgment against a nonresident defendant.  A judgment rendered in violation of due process is void in the rendering State </w:t>
      </w:r>
      <w:r>
        <w:lastRenderedPageBreak/>
        <w:t xml:space="preserve">and is not entitled to full faith and credit elsewhere.  Due process requires that the defendant be given adequate notice of the suit and be subject to the personal jurisdiction of the court, </w:t>
      </w:r>
      <w:r>
        <w:rPr>
          <w:i/>
        </w:rPr>
        <w:t>International Shoe Co. v</w:t>
      </w:r>
      <w:r>
        <w:t xml:space="preserve">. </w:t>
      </w:r>
      <w:r>
        <w:rPr>
          <w:i/>
        </w:rPr>
        <w:t>Washington, 326 U.S. 310 (1945)</w:t>
      </w:r>
      <w:r>
        <w:t xml:space="preserve">. . . . In the present case, . . . the only question is whether these particular petitioners were subject to the jurisdiction of the Oklahoma courts.  As has long been settled, and  as we reaffirm today, a state court may exercise personal jurisdiction over a nonresident defendant only so long as there exist "minimum contacts" between the defendant and the forum State.  </w:t>
      </w:r>
      <w:r>
        <w:rPr>
          <w:i/>
        </w:rPr>
        <w:t>International Shoe Co. v. Washington, supra, at 316.</w:t>
      </w:r>
      <w:r>
        <w:t xml:space="preserve"> The concept of minimum contacts, in turn, can be seen to perform two related, but distinguishable, functions.  It protects the defendant against the burdens of litigating in a distant or inconvenient forum.  And it acts to ensure that the States, through their courts, do not reach out beyond the limits imposed on them by their status as coequal sovereigns in a federal system.  </w:t>
      </w:r>
    </w:p>
    <w:p w:rsidR="00032A5B" w:rsidRDefault="00032A5B" w:rsidP="00032A5B">
      <w:pPr>
        <w:jc w:val="both"/>
      </w:pPr>
    </w:p>
    <w:p w:rsidR="00032A5B" w:rsidRDefault="00032A5B" w:rsidP="00032A5B">
      <w:pPr>
        <w:jc w:val="both"/>
      </w:pPr>
      <w:r>
        <w:t xml:space="preserve">The protection against inconvenient litigation is typically described in terms of "reasonableness" or "fairness."  We have said that the defendant's contacts with the </w:t>
      </w:r>
      <w:smartTag w:uri="urn:schemas-microsoft-com:office:smarttags" w:element="place">
        <w:smartTag w:uri="urn:schemas-microsoft-com:office:smarttags" w:element="PlaceName">
          <w:r>
            <w:t>forum</w:t>
          </w:r>
        </w:smartTag>
        <w:r>
          <w:t xml:space="preserve"> </w:t>
        </w:r>
        <w:smartTag w:uri="urn:schemas-microsoft-com:office:smarttags" w:element="PlaceType">
          <w:r>
            <w:t>State</w:t>
          </w:r>
        </w:smartTag>
      </w:smartTag>
      <w:r>
        <w:t xml:space="preserve"> must be such that maintenance of the suit "does not offend 'traditional notions of fair play and substantial justice.'"  The relationship between the defendant and the forum must be such that it is "reasonable . . . to require the corporation to defend the particular suit which is brought there."  Implicit in this emphasis on reasonableness is the understanding that the burden on the defendant, while always a primary concern, will in an appropriate case be considered in light of other relevant factors, including the forum State's interest in adjudicating the dispute; the plaintiff's interest in obtaining convenient and effective relief; the interstate judicial system's interest in obtaining the most efficient resolution of controversies; and the shared interest of the several States in furthering fundamental substantive social policies.</w:t>
      </w:r>
    </w:p>
    <w:p w:rsidR="00032A5B" w:rsidRDefault="00032A5B" w:rsidP="00032A5B">
      <w:pPr>
        <w:jc w:val="both"/>
      </w:pPr>
    </w:p>
    <w:p w:rsidR="00032A5B" w:rsidRDefault="00032A5B" w:rsidP="00032A5B">
      <w:pPr>
        <w:jc w:val="both"/>
      </w:pPr>
      <w:r>
        <w:t xml:space="preserve">The limits imposed on state jurisdiction by the Due Process Clause, in its role as a guarantor against inconvenient litigation, have been substantially relaxed over the years. . . . </w:t>
      </w:r>
    </w:p>
    <w:p w:rsidR="00032A5B" w:rsidRDefault="00032A5B" w:rsidP="00032A5B">
      <w:pPr>
        <w:jc w:val="both"/>
      </w:pPr>
    </w:p>
    <w:p w:rsidR="00032A5B" w:rsidRDefault="00032A5B" w:rsidP="00032A5B">
      <w:pPr>
        <w:jc w:val="both"/>
      </w:pPr>
      <w:r>
        <w:t xml:space="preserve">Nevertheless, we have never accepted the proposition that state lines are irrelevant for jurisdictional purposes, nor could we, and remain faithful to the principles of interstate federalism embodied in the Constitution.  The economic interdependence of the States was foreseen and desired by the Framers.  In the Commerce Clause, they provided that the Nation was to be a common market, a "free trade unit" in which the States are debarred from acting as separable economic entities.  But the Framers also intended that the States retain many essential attributes of sovereignty, including, in particular, the sovereign power to try causes in their courts.  The sovereignty of each State, in turn, implied a limitation on the sovereignty of all of its sister States — a limitation express or implicit in both the original scheme of the Constitution and the Fourteenth Amendment.  </w:t>
      </w:r>
    </w:p>
    <w:p w:rsidR="00032A5B" w:rsidRDefault="00032A5B" w:rsidP="00032A5B">
      <w:pPr>
        <w:jc w:val="both"/>
      </w:pPr>
    </w:p>
    <w:p w:rsidR="00032A5B" w:rsidRDefault="00032A5B" w:rsidP="00032A5B">
      <w:pPr>
        <w:jc w:val="both"/>
      </w:pPr>
      <w:r>
        <w:t xml:space="preserve">Hence, even while abandoning the shibboleth that "[the] authority of every tribunal is necessarily restricted by the territorial limits of the State in which it is established," we emphasized that the reasonableness of asserting jurisdiction over the defendant must be assessed "in the context of our federal system of government," and stressed that the Due Process Clause ensures not only fairness, but also the "orderly administration of the laws." . . . </w:t>
      </w:r>
    </w:p>
    <w:p w:rsidR="00032A5B" w:rsidRDefault="00032A5B" w:rsidP="00032A5B">
      <w:pPr>
        <w:jc w:val="both"/>
      </w:pPr>
    </w:p>
    <w:p w:rsidR="00032A5B" w:rsidRDefault="00032A5B" w:rsidP="00032A5B">
      <w:pPr>
        <w:jc w:val="both"/>
      </w:pPr>
      <w:r>
        <w:t xml:space="preserve">Even if the defendant would suffer minimal or no inconvenience from being forced to litigate before the tribunals of another State; even if the forum State has a strong interest in applying its law to the controversy; even if the forum State is the most convenient  location for litigation, the Due Process Clause, acting as an instrument of interstate federalism, may sometimes act to divest the State of its power to render a valid judgment. </w:t>
      </w:r>
    </w:p>
    <w:p w:rsidR="00032A5B" w:rsidRDefault="00032A5B" w:rsidP="00032A5B">
      <w:pPr>
        <w:jc w:val="both"/>
      </w:pPr>
    </w:p>
    <w:p w:rsidR="00032A5B" w:rsidRDefault="00032A5B" w:rsidP="00032A5B">
      <w:pPr>
        <w:jc w:val="both"/>
      </w:pPr>
    </w:p>
    <w:p w:rsidR="00032A5B" w:rsidRDefault="00032A5B" w:rsidP="00032A5B">
      <w:pPr>
        <w:jc w:val="both"/>
      </w:pPr>
      <w:r>
        <w:t>III</w:t>
      </w:r>
      <w:r>
        <w:tab/>
        <w:t xml:space="preserve">Applying these principles to the case at hand, we find in the record before us a total absence of those affiliating circumstances that are a necessary predicate to any exercise of state-court jurisdiction.  Petitioners carry on no activity whatsoever in </w:t>
      </w:r>
      <w:smartTag w:uri="urn:schemas-microsoft-com:office:smarttags" w:element="place">
        <w:smartTag w:uri="urn:schemas-microsoft-com:office:smarttags" w:element="State">
          <w:r>
            <w:t>Oklahoma</w:t>
          </w:r>
        </w:smartTag>
      </w:smartTag>
      <w:r>
        <w:t xml:space="preserve">.  They close no sales and perform no services there.  They avail themselves of none of the privileges and benefits of </w:t>
      </w:r>
      <w:smartTag w:uri="urn:schemas-microsoft-com:office:smarttags" w:element="place">
        <w:smartTag w:uri="urn:schemas-microsoft-com:office:smarttags" w:element="State">
          <w:r>
            <w:t>Oklahoma</w:t>
          </w:r>
        </w:smartTag>
      </w:smartTag>
      <w:r>
        <w:t xml:space="preserve"> law.  They solicit no business there either through salespersons or through advertising reasonably calculated to reach the State.  Nor does the record show that they regularly sell cars at wholesale or retail to </w:t>
      </w:r>
      <w:smartTag w:uri="urn:schemas-microsoft-com:office:smarttags" w:element="State">
        <w:r>
          <w:t>Oklahoma</w:t>
        </w:r>
      </w:smartTag>
      <w:r>
        <w:t xml:space="preserve"> customers or residents or that they indirectly, through others, serve or seek to serve the </w:t>
      </w:r>
      <w:smartTag w:uri="urn:schemas-microsoft-com:office:smarttags" w:element="place">
        <w:smartTag w:uri="urn:schemas-microsoft-com:office:smarttags" w:element="State">
          <w:r>
            <w:t>Oklahoma</w:t>
          </w:r>
        </w:smartTag>
      </w:smartTag>
      <w:r>
        <w:t xml:space="preserve"> market.  In short, respondents seek to base jurisdiction on one, isolated occurrence and whatever inferences can be drawn therefrom: the fortuitous circumstance that a single Audi automobile, sold in New York to New York residents, happened to suffer an accident while passing through </w:t>
      </w:r>
      <w:smartTag w:uri="urn:schemas-microsoft-com:office:smarttags" w:element="place">
        <w:smartTag w:uri="urn:schemas-microsoft-com:office:smarttags" w:element="State">
          <w:r>
            <w:t>Oklahoma</w:t>
          </w:r>
        </w:smartTag>
      </w:smartTag>
      <w:r>
        <w:t>.</w:t>
      </w:r>
    </w:p>
    <w:p w:rsidR="00032A5B" w:rsidRDefault="00032A5B" w:rsidP="00032A5B">
      <w:pPr>
        <w:jc w:val="both"/>
      </w:pPr>
    </w:p>
    <w:p w:rsidR="00032A5B" w:rsidRDefault="00032A5B" w:rsidP="00032A5B">
      <w:pPr>
        <w:jc w:val="both"/>
      </w:pPr>
      <w:r>
        <w:t xml:space="preserve">It is argued, however, that because an automobile is mobile by its very design and purpose it was "foreseeable" that the Robinsons' Audi would cause injury in </w:t>
      </w:r>
      <w:smartTag w:uri="urn:schemas-microsoft-com:office:smarttags" w:element="place">
        <w:smartTag w:uri="urn:schemas-microsoft-com:office:smarttags" w:element="State">
          <w:r>
            <w:t>Oklahoma</w:t>
          </w:r>
        </w:smartTag>
      </w:smartTag>
      <w:r>
        <w:t xml:space="preserve">.  Yet "foreseeability" alone has never been a sufficient benchmark for </w:t>
      </w:r>
      <w:r>
        <w:lastRenderedPageBreak/>
        <w:t xml:space="preserve">personal jurisdiction under the Due Process Clause. . . . If foreseeability were the criterion, a local </w:t>
      </w:r>
      <w:smartTag w:uri="urn:schemas-microsoft-com:office:smarttags" w:element="State">
        <w:r>
          <w:t>California</w:t>
        </w:r>
      </w:smartTag>
      <w:r>
        <w:t xml:space="preserve"> tire retailer could be forced to defend in </w:t>
      </w:r>
      <w:smartTag w:uri="urn:schemas-microsoft-com:office:smarttags" w:element="place">
        <w:smartTag w:uri="urn:schemas-microsoft-com:office:smarttags" w:element="State">
          <w:r>
            <w:t>Pennsylvania</w:t>
          </w:r>
        </w:smartTag>
      </w:smartTag>
      <w:r>
        <w:t xml:space="preserve"> when a blowout occurs there. . . </w:t>
      </w:r>
    </w:p>
    <w:p w:rsidR="00032A5B" w:rsidRDefault="00032A5B" w:rsidP="00032A5B">
      <w:pPr>
        <w:jc w:val="both"/>
      </w:pPr>
    </w:p>
    <w:p w:rsidR="00032A5B" w:rsidRDefault="00032A5B" w:rsidP="00032A5B">
      <w:pPr>
        <w:jc w:val="both"/>
      </w:pPr>
      <w:r>
        <w:t xml:space="preserve">This is not to say, of course, that foreseeability is wholly irrelevant.  But the foreseeability that is critical to due process analysis is not the mere likelihood that a product will find its way into the </w:t>
      </w:r>
      <w:smartTag w:uri="urn:schemas-microsoft-com:office:smarttags" w:element="place">
        <w:smartTag w:uri="urn:schemas-microsoft-com:office:smarttags" w:element="PlaceName">
          <w:r>
            <w:t>forum</w:t>
          </w:r>
        </w:smartTag>
        <w:r>
          <w:t xml:space="preserve"> </w:t>
        </w:r>
        <w:smartTag w:uri="urn:schemas-microsoft-com:office:smarttags" w:element="PlaceType">
          <w:r>
            <w:t>State</w:t>
          </w:r>
        </w:smartTag>
      </w:smartTag>
      <w:r>
        <w:t xml:space="preserve">. Rather, it is that the defendant's conduct and connection with the </w:t>
      </w:r>
      <w:smartTag w:uri="urn:schemas-microsoft-com:office:smarttags" w:element="place">
        <w:smartTag w:uri="urn:schemas-microsoft-com:office:smarttags" w:element="PlaceName">
          <w:r>
            <w:t>forum</w:t>
          </w:r>
        </w:smartTag>
        <w:r>
          <w:t xml:space="preserve"> </w:t>
        </w:r>
        <w:smartTag w:uri="urn:schemas-microsoft-com:office:smarttags" w:element="PlaceType">
          <w:r>
            <w:t>State</w:t>
          </w:r>
        </w:smartTag>
      </w:smartTag>
      <w:r>
        <w:t xml:space="preserve"> are such that he should reasonably anticipate being haled into court there.  The Due Process Clause, by ensuring the "orderly administration of the laws," gives a degree of predictability to the legal system that allows potential defendants to structure their primary conduct with some minimum assurance as to where that conduct will and will not render them liable to suit.  When a corporation "purposefully avails itself of the privilege of conducting activities within the </w:t>
      </w:r>
      <w:smartTag w:uri="urn:schemas-microsoft-com:office:smarttags" w:element="place">
        <w:smartTag w:uri="urn:schemas-microsoft-com:office:smarttags" w:element="PlaceName">
          <w:r>
            <w:t>forum</w:t>
          </w:r>
        </w:smartTag>
        <w:r>
          <w:t xml:space="preserve"> </w:t>
        </w:r>
        <w:smartTag w:uri="urn:schemas-microsoft-com:office:smarttags" w:element="PlaceType">
          <w:r>
            <w:t>State</w:t>
          </w:r>
        </w:smartTag>
      </w:smartTag>
      <w:r>
        <w:t xml:space="preserve">," it has clear notice that it is  subject to suit there, and can act to alleviate the risk of burdensome litigation by procuring insurance, passing the expected costs on to customers, or, if the risks are too great, severing its connection with the State.  Hence if the sale of a product of a manufacturer or distributor such as Audi or Volkswagen is not simply an isolated occurrence, but arises from the efforts of the manufacturer or distributor to serve, directly or indirectly, the market for its product in other States, it is not unreasonable to subject it to suit in one of those States if its allegedly defective merchandise has there been the source of injury to its  owner or to others.  The </w:t>
      </w:r>
      <w:smartTag w:uri="urn:schemas-microsoft-com:office:smarttags" w:element="PlaceName">
        <w:r>
          <w:t>forum</w:t>
        </w:r>
      </w:smartTag>
      <w:r>
        <w:t xml:space="preserve"> </w:t>
      </w:r>
      <w:smartTag w:uri="urn:schemas-microsoft-com:office:smarttags" w:element="PlaceType">
        <w:r>
          <w:t>State</w:t>
        </w:r>
      </w:smartTag>
      <w:r>
        <w:t xml:space="preserve"> does not  exceed its powers under the Due Process Clause if it asserts personal jurisdiction over a corporation that delivers its products into the stream of commerce with the expectation that they will be purchased by consumers in the </w:t>
      </w:r>
      <w:smartTag w:uri="urn:schemas-microsoft-com:office:smarttags" w:element="place">
        <w:smartTag w:uri="urn:schemas-microsoft-com:office:smarttags" w:element="PlaceName">
          <w:r>
            <w:t>forum</w:t>
          </w:r>
        </w:smartTag>
        <w:r>
          <w:t xml:space="preserve"> </w:t>
        </w:r>
        <w:smartTag w:uri="urn:schemas-microsoft-com:office:smarttags" w:element="PlaceType">
          <w:r>
            <w:t>State</w:t>
          </w:r>
        </w:smartTag>
      </w:smartTag>
      <w:r>
        <w:t xml:space="preserve">. . . .  But there is no such or similar basis for </w:t>
      </w:r>
      <w:smartTag w:uri="urn:schemas-microsoft-com:office:smarttags" w:element="place">
        <w:smartTag w:uri="urn:schemas-microsoft-com:office:smarttags" w:element="State">
          <w:r>
            <w:t>Oklahoma</w:t>
          </w:r>
        </w:smartTag>
      </w:smartTag>
      <w:r>
        <w:t xml:space="preserve"> jurisdiction over World-Wide or Seaway in this case.  Seaway's sales are made in Massena, N. Y.  World-Wide's market, although substantially larger, is limited to dealers in </w:t>
      </w:r>
      <w:smartTag w:uri="urn:schemas-microsoft-com:office:smarttags" w:element="City">
        <w:r>
          <w:t>New York</w:t>
        </w:r>
      </w:smartTag>
      <w:r>
        <w:t xml:space="preserve">, </w:t>
      </w:r>
      <w:smartTag w:uri="urn:schemas-microsoft-com:office:smarttags" w:element="State">
        <w:r>
          <w:t>New Jersey</w:t>
        </w:r>
      </w:smartTag>
      <w:r>
        <w:t xml:space="preserve">, and </w:t>
      </w:r>
      <w:smartTag w:uri="urn:schemas-microsoft-com:office:smarttags" w:element="place">
        <w:smartTag w:uri="urn:schemas-microsoft-com:office:smarttags" w:element="State">
          <w:r>
            <w:t>Connecticut</w:t>
          </w:r>
        </w:smartTag>
      </w:smartTag>
      <w:r>
        <w:t xml:space="preserve">.  There is no evidence of record that any automobiles distributed by World-Wide are sold to retail customers outside this tristate area. It is foreseeable that the purchasers of automobiles sold by World-Wide and Seaway may take them to </w:t>
      </w:r>
      <w:smartTag w:uri="urn:schemas-microsoft-com:office:smarttags" w:element="place">
        <w:smartTag w:uri="urn:schemas-microsoft-com:office:smarttags" w:element="State">
          <w:r>
            <w:t>Oklahoma</w:t>
          </w:r>
        </w:smartTag>
      </w:smartTag>
      <w:r>
        <w:t xml:space="preserve">.  But the mere "unilateral activity of those who claim some relationship with a nonresident defendant cannot satisfy the requirement of contact with the </w:t>
      </w:r>
      <w:smartTag w:uri="urn:schemas-microsoft-com:office:smarttags" w:element="place">
        <w:smartTag w:uri="urn:schemas-microsoft-com:office:smarttags" w:element="PlaceName">
          <w:r>
            <w:t>forum</w:t>
          </w:r>
        </w:smartTag>
        <w:r>
          <w:t xml:space="preserve"> </w:t>
        </w:r>
        <w:smartTag w:uri="urn:schemas-microsoft-com:office:smarttags" w:element="PlaceType">
          <w:r>
            <w:t>State</w:t>
          </w:r>
        </w:smartTag>
      </w:smartTag>
      <w:r>
        <w:t xml:space="preserve">." </w:t>
      </w:r>
    </w:p>
    <w:p w:rsidR="00032A5B" w:rsidRDefault="00032A5B" w:rsidP="00032A5B">
      <w:pPr>
        <w:jc w:val="both"/>
      </w:pPr>
    </w:p>
    <w:p w:rsidR="00032A5B" w:rsidRDefault="00032A5B" w:rsidP="00032A5B">
      <w:pPr>
        <w:jc w:val="both"/>
      </w:pPr>
      <w:r>
        <w:t xml:space="preserve">In a variant on the previous argument, it is contended that jurisdiction can be supported by the fact that petitioners earn substantial revenue from goods used in </w:t>
      </w:r>
      <w:smartTag w:uri="urn:schemas-microsoft-com:office:smarttags" w:element="place">
        <w:smartTag w:uri="urn:schemas-microsoft-com:office:smarttags" w:element="State">
          <w:r>
            <w:t>Oklahoma</w:t>
          </w:r>
        </w:smartTag>
      </w:smartTag>
      <w:r>
        <w:t xml:space="preserve">.  The Oklahoma Supreme Court so found drawing the  inference that because one automobile sold by petitioners had been used in </w:t>
      </w:r>
      <w:smartTag w:uri="urn:schemas-microsoft-com:office:smarttags" w:element="place">
        <w:smartTag w:uri="urn:schemas-microsoft-com:office:smarttags" w:element="State">
          <w:r>
            <w:t>Oklahoma</w:t>
          </w:r>
        </w:smartTag>
      </w:smartTag>
      <w:r>
        <w:t xml:space="preserve">, others might have been used there also. While this inference seems less than compelling on the facts of the instant case, we need not question the court's factual findings in order to reject its reasoning.  This argument seems to make the point that the purchase of automobiles in </w:t>
      </w:r>
      <w:smartTag w:uri="urn:schemas-microsoft-com:office:smarttags" w:element="State">
        <w:r>
          <w:t>New York</w:t>
        </w:r>
      </w:smartTag>
      <w:r>
        <w:t xml:space="preserve">, from which the petitioners earn substantial revenue, would not occur but for the fact that the automobiles are capable of use in distant States like </w:t>
      </w:r>
      <w:smartTag w:uri="urn:schemas-microsoft-com:office:smarttags" w:element="place">
        <w:smartTag w:uri="urn:schemas-microsoft-com:office:smarttags" w:element="State">
          <w:r>
            <w:t>Oklahoma</w:t>
          </w:r>
        </w:smartTag>
      </w:smartTag>
      <w:r>
        <w:t xml:space="preserve">.  Respondents observe that the very purpose of an automobile is to travel, and that travel of automobiles sold by petitioners is facilitated by an extensive chain of Volkswagen service centers throughout the country, including some in </w:t>
      </w:r>
      <w:smartTag w:uri="urn:schemas-microsoft-com:office:smarttags" w:element="place">
        <w:smartTag w:uri="urn:schemas-microsoft-com:office:smarttags" w:element="State">
          <w:r>
            <w:t>Oklahoma</w:t>
          </w:r>
        </w:smartTag>
      </w:smartTag>
      <w:r>
        <w:t xml:space="preserve">.  However, financial benefits accruing to the defendant from a collateral relation to the </w:t>
      </w:r>
      <w:smartTag w:uri="urn:schemas-microsoft-com:office:smarttags" w:element="place">
        <w:smartTag w:uri="urn:schemas-microsoft-com:office:smarttags" w:element="PlaceName">
          <w:r>
            <w:t>forum</w:t>
          </w:r>
        </w:smartTag>
        <w:r>
          <w:t xml:space="preserve"> </w:t>
        </w:r>
        <w:smartTag w:uri="urn:schemas-microsoft-com:office:smarttags" w:element="PlaceType">
          <w:r>
            <w:t>State</w:t>
          </w:r>
        </w:smartTag>
      </w:smartTag>
      <w:r>
        <w:t xml:space="preserve"> will not support jurisdiction if they do not stem from a constitutionally cognizable contact with that State.  In our view, whatever marginal revenues petitioners may receive by virtue of the fact that their products are capable of use in </w:t>
      </w:r>
      <w:smartTag w:uri="urn:schemas-microsoft-com:office:smarttags" w:element="place">
        <w:smartTag w:uri="urn:schemas-microsoft-com:office:smarttags" w:element="State">
          <w:r>
            <w:t>Oklahoma</w:t>
          </w:r>
        </w:smartTag>
      </w:smartTag>
      <w:r>
        <w:t xml:space="preserve"> is far too attenuated a contact to justify that State's exercise of in personam jurisdiction over them.</w:t>
      </w:r>
    </w:p>
    <w:p w:rsidR="00032A5B" w:rsidRDefault="00032A5B" w:rsidP="00032A5B">
      <w:pPr>
        <w:jc w:val="both"/>
      </w:pPr>
    </w:p>
    <w:p w:rsidR="00032A5B" w:rsidRDefault="00032A5B" w:rsidP="00032A5B">
      <w:pPr>
        <w:jc w:val="both"/>
      </w:pPr>
      <w:r>
        <w:t xml:space="preserve">Because we find that petitioners have no "contacts, ties, or relations" with the State of Oklahoma, </w:t>
      </w:r>
      <w:r w:rsidRPr="00C90726">
        <w:rPr>
          <w:i/>
        </w:rPr>
        <w:t xml:space="preserve">International Shoe Co. v. </w:t>
      </w:r>
      <w:r>
        <w:rPr>
          <w:i/>
        </w:rPr>
        <w:t>Washington, supra, at 319,</w:t>
      </w:r>
      <w:r>
        <w:t xml:space="preserve"> the judgment of the Supreme Court of Oklahoma is  </w:t>
      </w:r>
    </w:p>
    <w:p w:rsidR="00032A5B" w:rsidRDefault="00032A5B" w:rsidP="00032A5B">
      <w:pPr>
        <w:jc w:val="both"/>
      </w:pPr>
    </w:p>
    <w:p w:rsidR="00032A5B" w:rsidRDefault="00032A5B" w:rsidP="00032A5B">
      <w:pPr>
        <w:jc w:val="both"/>
      </w:pPr>
      <w:r>
        <w:t xml:space="preserve">   Reversed.  </w:t>
      </w:r>
    </w:p>
    <w:p w:rsidR="00032A5B" w:rsidRDefault="00032A5B" w:rsidP="00032A5B">
      <w:pPr>
        <w:jc w:val="both"/>
      </w:pPr>
    </w:p>
    <w:p w:rsidR="00032A5B" w:rsidRPr="008C2A52" w:rsidRDefault="00032A5B" w:rsidP="00032A5B">
      <w:pPr>
        <w:ind w:left="1200" w:right="1200"/>
        <w:jc w:val="center"/>
        <w:rPr>
          <w:bCs/>
        </w:rPr>
      </w:pPr>
      <w:r>
        <w:rPr>
          <w:bCs/>
        </w:rPr>
        <w:br w:type="page"/>
      </w:r>
      <w:r w:rsidRPr="008C2A52">
        <w:rPr>
          <w:bCs/>
        </w:rPr>
        <w:lastRenderedPageBreak/>
        <w:t>CARNIVAL CR</w:t>
      </w:r>
      <w:r>
        <w:rPr>
          <w:bCs/>
        </w:rPr>
        <w:t>UISE LINES, INC. v. SHUTE</w:t>
      </w:r>
    </w:p>
    <w:p w:rsidR="00032A5B" w:rsidRPr="008C2A52" w:rsidRDefault="00032A5B" w:rsidP="00032A5B">
      <w:pPr>
        <w:rPr>
          <w:bCs/>
        </w:rPr>
      </w:pPr>
    </w:p>
    <w:p w:rsidR="00032A5B" w:rsidRPr="008C2A52" w:rsidRDefault="00032A5B" w:rsidP="00032A5B">
      <w:pPr>
        <w:rPr>
          <w:bCs/>
        </w:rPr>
      </w:pPr>
    </w:p>
    <w:p w:rsidR="00032A5B" w:rsidRPr="008C2A52" w:rsidRDefault="00032A5B" w:rsidP="00032A5B">
      <w:pPr>
        <w:ind w:left="1200" w:right="1200"/>
        <w:jc w:val="center"/>
        <w:rPr>
          <w:bCs/>
        </w:rPr>
      </w:pPr>
      <w:r w:rsidRPr="008C2A52">
        <w:rPr>
          <w:bCs/>
        </w:rPr>
        <w:t xml:space="preserve">Supreme Court </w:t>
      </w:r>
      <w:r>
        <w:rPr>
          <w:bCs/>
        </w:rPr>
        <w:t>of the</w:t>
      </w:r>
      <w:r w:rsidRPr="008C2A52">
        <w:rPr>
          <w:bCs/>
        </w:rPr>
        <w:t xml:space="preserve"> </w:t>
      </w:r>
      <w:smartTag w:uri="urn:schemas-microsoft-com:office:smarttags" w:element="place">
        <w:smartTag w:uri="urn:schemas-microsoft-com:office:smarttags" w:element="country-region">
          <w:r w:rsidRPr="008C2A52">
            <w:rPr>
              <w:bCs/>
            </w:rPr>
            <w:t>United States</w:t>
          </w:r>
        </w:smartTag>
      </w:smartTag>
    </w:p>
    <w:p w:rsidR="00032A5B" w:rsidRPr="008C2A52" w:rsidRDefault="00032A5B" w:rsidP="00032A5B">
      <w:pPr>
        <w:rPr>
          <w:bCs/>
        </w:rPr>
      </w:pPr>
    </w:p>
    <w:p w:rsidR="00032A5B" w:rsidRPr="008C2A52" w:rsidRDefault="00032A5B" w:rsidP="00032A5B">
      <w:pPr>
        <w:ind w:left="1200" w:right="1200"/>
        <w:jc w:val="center"/>
        <w:rPr>
          <w:bCs/>
        </w:rPr>
      </w:pPr>
      <w:r w:rsidRPr="008C2A52">
        <w:rPr>
          <w:bCs/>
        </w:rPr>
        <w:t xml:space="preserve">499 </w:t>
      </w:r>
      <w:smartTag w:uri="urn:schemas-microsoft-com:office:smarttags" w:element="place">
        <w:smartTag w:uri="urn:schemas-microsoft-com:office:smarttags" w:element="country-region">
          <w:r w:rsidRPr="008C2A52">
            <w:rPr>
              <w:bCs/>
            </w:rPr>
            <w:t>U.S.</w:t>
          </w:r>
        </w:smartTag>
      </w:smartTag>
      <w:r w:rsidRPr="008C2A52">
        <w:rPr>
          <w:bCs/>
        </w:rPr>
        <w:t xml:space="preserve"> 585</w:t>
      </w:r>
    </w:p>
    <w:p w:rsidR="00032A5B" w:rsidRPr="008C2A52" w:rsidRDefault="00032A5B" w:rsidP="00032A5B">
      <w:pPr>
        <w:rPr>
          <w:bCs/>
        </w:rPr>
      </w:pPr>
    </w:p>
    <w:p w:rsidR="00032A5B" w:rsidRPr="008C2A52" w:rsidRDefault="00032A5B" w:rsidP="00032A5B">
      <w:pPr>
        <w:ind w:left="1200" w:right="1200"/>
        <w:jc w:val="center"/>
        <w:rPr>
          <w:bCs/>
        </w:rPr>
      </w:pPr>
      <w:smartTag w:uri="urn:schemas-microsoft-com:office:smarttags" w:element="date">
        <w:smartTagPr>
          <w:attr w:name="Year" w:val="1991"/>
          <w:attr w:name="Day" w:val="17"/>
          <w:attr w:name="Month" w:val="4"/>
          <w:attr w:name="ls" w:val="trans"/>
        </w:smartTagPr>
        <w:r w:rsidRPr="008C2A52">
          <w:rPr>
            <w:bCs/>
          </w:rPr>
          <w:t>April 17, 1991</w:t>
        </w:r>
      </w:smartTag>
      <w:r w:rsidRPr="008C2A52">
        <w:rPr>
          <w:bCs/>
        </w:rPr>
        <w:t xml:space="preserve">, Decided </w:t>
      </w:r>
    </w:p>
    <w:p w:rsidR="00032A5B" w:rsidRDefault="00032A5B" w:rsidP="00032A5B">
      <w:pPr>
        <w:rPr>
          <w:bCs/>
        </w:rPr>
      </w:pPr>
    </w:p>
    <w:p w:rsidR="00032A5B" w:rsidRPr="008C2A52" w:rsidRDefault="00032A5B" w:rsidP="00032A5B">
      <w:pPr>
        <w:rPr>
          <w:bCs/>
        </w:rPr>
      </w:pPr>
    </w:p>
    <w:p w:rsidR="00032A5B" w:rsidRPr="008C2A52" w:rsidRDefault="00032A5B" w:rsidP="00032A5B"/>
    <w:p w:rsidR="00032A5B" w:rsidRPr="008C2A52" w:rsidRDefault="00032A5B" w:rsidP="00032A5B">
      <w:r w:rsidRPr="008C2A52">
        <w:rPr>
          <w:bCs/>
        </w:rPr>
        <w:t xml:space="preserve">JUDGES: </w:t>
      </w:r>
      <w:r w:rsidRPr="008C2A52">
        <w:t>Blackmun, J., delivered the opinion of the Court, in which Rehnquist, C. J., and White, O'Connor</w:t>
      </w:r>
      <w:r>
        <w:t xml:space="preserve">, Scalia, Kennedy, and Souter, </w:t>
      </w:r>
      <w:r w:rsidRPr="008C2A52">
        <w:t>J., joined.  Stevens, J., filed a dissenting opinion, in which Marsh</w:t>
      </w:r>
      <w:r>
        <w:t>all, J., joined.</w:t>
      </w:r>
    </w:p>
    <w:p w:rsidR="00032A5B" w:rsidRPr="008C2A52" w:rsidRDefault="00032A5B" w:rsidP="00032A5B"/>
    <w:p w:rsidR="00032A5B" w:rsidRPr="008C2A52" w:rsidRDefault="00032A5B" w:rsidP="00032A5B">
      <w:r w:rsidRPr="008C2A52">
        <w:rPr>
          <w:bCs/>
        </w:rPr>
        <w:t xml:space="preserve">OPINION BY: </w:t>
      </w:r>
      <w:r>
        <w:rPr>
          <w:bCs/>
        </w:rPr>
        <w:t xml:space="preserve"> </w:t>
      </w:r>
      <w:r w:rsidRPr="008C2A52">
        <w:t xml:space="preserve">BLACKMUN </w:t>
      </w:r>
    </w:p>
    <w:p w:rsidR="00032A5B" w:rsidRDefault="00032A5B" w:rsidP="00032A5B">
      <w:pPr>
        <w:spacing w:before="120"/>
      </w:pPr>
      <w:r>
        <w:t xml:space="preserve">In this admiralty case we primarily consider whether the United States Court of Appeals for the Ninth Circuit correctly refused to enforce a forum-selection clause contained in tickets issued by petitioner Carnival Cruise Lines, Inc., to respondents Eulala and Russel Shute. </w:t>
      </w:r>
    </w:p>
    <w:p w:rsidR="00032A5B" w:rsidRDefault="00032A5B" w:rsidP="00032A5B">
      <w:pPr>
        <w:spacing w:before="120"/>
      </w:pPr>
    </w:p>
    <w:p w:rsidR="00032A5B" w:rsidRDefault="00032A5B" w:rsidP="00032A5B">
      <w:pPr>
        <w:spacing w:before="120"/>
      </w:pPr>
      <w:r>
        <w:t xml:space="preserve">I </w:t>
      </w:r>
    </w:p>
    <w:p w:rsidR="00032A5B" w:rsidRDefault="00032A5B" w:rsidP="00032A5B">
      <w:pPr>
        <w:spacing w:before="120"/>
      </w:pPr>
      <w:r>
        <w:t xml:space="preserve">The Shutes, through an </w:t>
      </w:r>
      <w:smartTag w:uri="urn:schemas-microsoft-com:office:smarttags" w:element="place">
        <w:smartTag w:uri="urn:schemas-microsoft-com:office:smarttags" w:element="City">
          <w:r>
            <w:t>Arlington</w:t>
          </w:r>
        </w:smartTag>
        <w:r>
          <w:t xml:space="preserve">, </w:t>
        </w:r>
        <w:smartTag w:uri="urn:schemas-microsoft-com:office:smarttags" w:element="State">
          <w:r>
            <w:t>Wash.</w:t>
          </w:r>
        </w:smartTag>
      </w:smartTag>
      <w:r>
        <w:t xml:space="preserve">, travel agent, purchased passage for a 7-day cruise on petitioner's ship, the </w:t>
      </w:r>
      <w:r>
        <w:rPr>
          <w:i/>
          <w:iCs/>
        </w:rPr>
        <w:t>Tropicale</w:t>
      </w:r>
      <w:r>
        <w:t xml:space="preserve">.  Respondents paid the fare to the agent who forwarded the payment to petitioner's headquarters in </w:t>
      </w:r>
      <w:smartTag w:uri="urn:schemas-microsoft-com:office:smarttags" w:element="place">
        <w:smartTag w:uri="urn:schemas-microsoft-com:office:smarttags" w:element="City">
          <w:r>
            <w:t>Miami</w:t>
          </w:r>
        </w:smartTag>
        <w:r>
          <w:t xml:space="preserve">, </w:t>
        </w:r>
        <w:smartTag w:uri="urn:schemas-microsoft-com:office:smarttags" w:element="State">
          <w:r>
            <w:t>Fla.</w:t>
          </w:r>
        </w:smartTag>
      </w:smartTag>
      <w:r>
        <w:t xml:space="preserve">  Petitioner then prepared the tickets and sent them to respondents in the State of </w:t>
      </w:r>
      <w:smartTag w:uri="urn:schemas-microsoft-com:office:smarttags" w:element="place">
        <w:smartTag w:uri="urn:schemas-microsoft-com:office:smarttags" w:element="State">
          <w:r>
            <w:t>Washington</w:t>
          </w:r>
        </w:smartTag>
      </w:smartTag>
      <w:r>
        <w:t xml:space="preserve">.  The face of each ticket, at its left-hand lower corner, contained this admonition: </w:t>
      </w:r>
    </w:p>
    <w:p w:rsidR="00032A5B" w:rsidRDefault="00032A5B" w:rsidP="00032A5B">
      <w:pPr>
        <w:spacing w:before="120"/>
      </w:pPr>
      <w:r>
        <w:t xml:space="preserve">"SUBJECT TO CONDITIONS OF CONTRACT ON LAST PAGES   </w:t>
      </w:r>
      <w:r>
        <w:rPr>
          <w:b/>
          <w:bCs/>
        </w:rPr>
        <w:t>IMPORTANT!</w:t>
      </w:r>
      <w:r>
        <w:t xml:space="preserve"> PLEASE READ CONTRACT " </w:t>
      </w:r>
    </w:p>
    <w:p w:rsidR="00032A5B" w:rsidRDefault="00032A5B" w:rsidP="00032A5B">
      <w:pPr>
        <w:spacing w:before="120"/>
      </w:pPr>
      <w:r>
        <w:t>The following appeared on "contract page 1" of each ticket:</w:t>
      </w:r>
    </w:p>
    <w:p w:rsidR="00032A5B" w:rsidRDefault="00032A5B" w:rsidP="00032A5B">
      <w:pPr>
        <w:spacing w:before="120"/>
      </w:pPr>
      <w:r>
        <w:t>"</w:t>
      </w:r>
      <w:r>
        <w:rPr>
          <w:i/>
          <w:iCs/>
        </w:rPr>
        <w:t>TERMS AND CONDITIONS OF PASSAGE CONTRACT TICKET</w:t>
      </w:r>
      <w:r>
        <w:t xml:space="preserve"> . .  . . </w:t>
      </w:r>
    </w:p>
    <w:p w:rsidR="00032A5B" w:rsidRDefault="00032A5B" w:rsidP="00032A5B"/>
    <w:p w:rsidR="00032A5B" w:rsidRDefault="00032A5B" w:rsidP="00032A5B">
      <w:pPr>
        <w:ind w:left="600" w:right="600"/>
        <w:rPr>
          <w:sz w:val="16"/>
          <w:szCs w:val="16"/>
        </w:rPr>
      </w:pPr>
      <w:r>
        <w:rPr>
          <w:sz w:val="16"/>
          <w:szCs w:val="16"/>
        </w:rPr>
        <w:t xml:space="preserve">"3.  (a) The acceptance of this ticket by the person or persons named hereon as passengers shall be deemed to be an acceptance and agreement by each of them of all of the terms and conditions of this Passage Contract Ticket. . . . . </w:t>
      </w:r>
    </w:p>
    <w:p w:rsidR="00032A5B" w:rsidRDefault="00032A5B" w:rsidP="00032A5B">
      <w:pPr>
        <w:spacing w:before="120"/>
        <w:ind w:left="600" w:right="600"/>
      </w:pPr>
      <w:r>
        <w:rPr>
          <w:sz w:val="16"/>
          <w:szCs w:val="16"/>
        </w:rPr>
        <w:t>"8.  It is agreed by and between the passenger and the Carrier that all disputes and matters whatsoever arising under, in connection with or incident to this Contract shall be litigated, if at all, in and before a Court located in the State of Florida, U. S. A., to the exclusion of the Courts of any other state or country."</w:t>
      </w:r>
    </w:p>
    <w:p w:rsidR="00032A5B" w:rsidRDefault="00032A5B" w:rsidP="00032A5B">
      <w:pPr>
        <w:spacing w:before="120"/>
      </w:pPr>
      <w:r>
        <w:t xml:space="preserve">The last quoted paragraph is the forum-selection clause at issue. </w:t>
      </w:r>
    </w:p>
    <w:p w:rsidR="00032A5B" w:rsidRDefault="00032A5B" w:rsidP="00032A5B">
      <w:pPr>
        <w:spacing w:before="120"/>
      </w:pPr>
    </w:p>
    <w:p w:rsidR="00032A5B" w:rsidRDefault="00032A5B" w:rsidP="00032A5B">
      <w:pPr>
        <w:spacing w:before="120"/>
      </w:pPr>
      <w:r>
        <w:t xml:space="preserve">II </w:t>
      </w:r>
    </w:p>
    <w:p w:rsidR="00032A5B" w:rsidRDefault="00032A5B" w:rsidP="00032A5B">
      <w:pPr>
        <w:spacing w:before="120"/>
      </w:pPr>
      <w:r>
        <w:t xml:space="preserve">Respondents boarded the </w:t>
      </w:r>
      <w:r>
        <w:rPr>
          <w:i/>
          <w:iCs/>
        </w:rPr>
        <w:t>Tropicale</w:t>
      </w:r>
      <w:r>
        <w:t xml:space="preserve"> in </w:t>
      </w:r>
      <w:smartTag w:uri="urn:schemas-microsoft-com:office:smarttags" w:element="place">
        <w:smartTag w:uri="urn:schemas-microsoft-com:office:smarttags" w:element="City">
          <w:r>
            <w:t>Los Angeles</w:t>
          </w:r>
        </w:smartTag>
        <w:r>
          <w:t xml:space="preserve">, </w:t>
        </w:r>
        <w:smartTag w:uri="urn:schemas-microsoft-com:office:smarttags" w:element="State">
          <w:r>
            <w:t>Cal</w:t>
          </w:r>
        </w:smartTag>
      </w:smartTag>
      <w:r>
        <w:t xml:space="preserve">.  The ship sailed to </w:t>
      </w:r>
      <w:smartTag w:uri="urn:schemas-microsoft-com:office:smarttags" w:element="City">
        <w:r>
          <w:t>Puerto Vallarta</w:t>
        </w:r>
      </w:smartTag>
      <w:r>
        <w:t xml:space="preserve">, </w:t>
      </w:r>
      <w:smartTag w:uri="urn:schemas-microsoft-com:office:smarttags" w:element="country-region">
        <w:r>
          <w:t>Mexico</w:t>
        </w:r>
      </w:smartTag>
      <w:r>
        <w:t xml:space="preserve">, and then returned to </w:t>
      </w:r>
      <w:smartTag w:uri="urn:schemas-microsoft-com:office:smarttags" w:element="place">
        <w:smartTag w:uri="urn:schemas-microsoft-com:office:smarttags" w:element="City">
          <w:r>
            <w:t>Los Angeles</w:t>
          </w:r>
        </w:smartTag>
      </w:smartTag>
      <w:r>
        <w:t xml:space="preserve">.  While the ship was in international waters off the Mexican coast, respondent Eulala Shute was injured when she slipped on a deck mat during a guided tour of the ship's galley.  Respondents filed suit against petitioner in the United States District Court for the Western District of Washington, claiming that Mrs. Shute's injuries had been caused by the negligence of Carnival Cruise Lines and its employees. </w:t>
      </w:r>
    </w:p>
    <w:p w:rsidR="00032A5B" w:rsidRDefault="00032A5B" w:rsidP="00032A5B">
      <w:pPr>
        <w:spacing w:before="120"/>
      </w:pPr>
      <w:r>
        <w:t xml:space="preserve">Petitioner moved for summary judgment, contending that the forum clause in respondents' tickets required the Shutes to bring their suit against petitioner in a court in the State of </w:t>
      </w:r>
      <w:smartTag w:uri="urn:schemas-microsoft-com:office:smarttags" w:element="place">
        <w:smartTag w:uri="urn:schemas-microsoft-com:office:smarttags" w:element="State">
          <w:r>
            <w:t>Florida</w:t>
          </w:r>
        </w:smartTag>
      </w:smartTag>
      <w:r>
        <w:t xml:space="preserve">.  Petitioner contended, alternatively, that the District Court lacked personal jurisdiction over petitioner because petitioner's contacts with the State of </w:t>
      </w:r>
      <w:smartTag w:uri="urn:schemas-microsoft-com:office:smarttags" w:element="place">
        <w:smartTag w:uri="urn:schemas-microsoft-com:office:smarttags" w:element="State">
          <w:r>
            <w:t>Washington</w:t>
          </w:r>
        </w:smartTag>
      </w:smartTag>
      <w:r>
        <w:t xml:space="preserve"> were insubstantial.  The District Court granted the motion, holding that petitioner's contacts with </w:t>
      </w:r>
      <w:smartTag w:uri="urn:schemas-microsoft-com:office:smarttags" w:element="place">
        <w:smartTag w:uri="urn:schemas-microsoft-com:office:smarttags" w:element="State">
          <w:r>
            <w:t>Washington</w:t>
          </w:r>
        </w:smartTag>
      </w:smartTag>
      <w:r>
        <w:t xml:space="preserve"> were constitutionally insufficient to support the exercise of personal jurisdiction.</w:t>
      </w:r>
    </w:p>
    <w:p w:rsidR="00032A5B" w:rsidRDefault="00032A5B" w:rsidP="00032A5B">
      <w:pPr>
        <w:spacing w:before="120"/>
      </w:pPr>
      <w:r>
        <w:t>The Court of Appeals reversed.  Reasoning that "but for" petitioner's solicitation of business in Washington, respondents would not have taken the cruise and Mrs. Shute would not have been injured, the court concluded that petitioner had sufficient contacts with Washington to justify the District Court's exercise of personal jurisdiction.</w:t>
      </w:r>
    </w:p>
    <w:p w:rsidR="00032A5B" w:rsidRDefault="00032A5B" w:rsidP="00032A5B">
      <w:pPr>
        <w:spacing w:before="120"/>
      </w:pPr>
      <w:r>
        <w:lastRenderedPageBreak/>
        <w:t xml:space="preserve">Turning to the forum-selection clause, the Court of Appeals acknowledged that a court concerned with the enforceability of such a clause must begin its analysis with </w:t>
      </w:r>
      <w:r>
        <w:rPr>
          <w:i/>
          <w:iCs/>
        </w:rPr>
        <w:t>The Bremen</w:t>
      </w:r>
      <w:r>
        <w:t xml:space="preserve"> v. </w:t>
      </w:r>
      <w:r>
        <w:rPr>
          <w:i/>
          <w:iCs/>
        </w:rPr>
        <w:t>Zapata Off-Shore Co.</w:t>
      </w:r>
      <w:r>
        <w:t xml:space="preserve">, 407 U.S. 1 (1972), where this Court held that forum-selection clauses, although not "historically . . . favored," are "prima facie valid."  The appellate court concluded that the forum clause should not be enforced because it "was not freely bargained for." As an "independent justification" for refusing to enforce the clause, the Court of Appeals noted that there was evidence in the record to indicate that "the Shutes are physically and financially incapable of pursuing this litigation in Florida" and that the enforcement of the clause would operate to deprive them of their day in court and thereby contravene this Court's holding in </w:t>
      </w:r>
      <w:r>
        <w:rPr>
          <w:i/>
          <w:iCs/>
        </w:rPr>
        <w:t>The Bremen</w:t>
      </w:r>
      <w:r>
        <w:t>.</w:t>
      </w:r>
    </w:p>
    <w:p w:rsidR="00032A5B" w:rsidRDefault="00032A5B" w:rsidP="00032A5B">
      <w:r>
        <w:t xml:space="preserve"> </w:t>
      </w:r>
    </w:p>
    <w:p w:rsidR="00032A5B" w:rsidRDefault="00032A5B" w:rsidP="00032A5B">
      <w:r>
        <w:t>We granted certiorari to address the question whether the Court of Appeals was correct in holding that the District Court should hear respondents' tort claim against petitioner.  Because we find the forum-selection clause to be dispositive of this question, we need not consider petitioner's constitutional argument as to personal jurisdiction. . . .</w:t>
      </w:r>
    </w:p>
    <w:p w:rsidR="00032A5B" w:rsidRDefault="00032A5B" w:rsidP="00032A5B">
      <w:pPr>
        <w:spacing w:before="120"/>
      </w:pPr>
    </w:p>
    <w:p w:rsidR="00032A5B" w:rsidRDefault="00032A5B" w:rsidP="00032A5B">
      <w:pPr>
        <w:spacing w:before="120"/>
      </w:pPr>
      <w:r>
        <w:t xml:space="preserve">III </w:t>
      </w:r>
    </w:p>
    <w:p w:rsidR="00032A5B" w:rsidRDefault="00032A5B" w:rsidP="00032A5B">
      <w:r>
        <w:t xml:space="preserve"> </w:t>
      </w:r>
    </w:p>
    <w:p w:rsidR="00032A5B" w:rsidRDefault="00032A5B" w:rsidP="00032A5B">
      <w:r>
        <w:t>We begin by noting the boundaries of our inquiry.  First, . . . federal law governs the enforceability of the forum-selection clause we scrutinize.  Second, we do not address the question whether respondents had sufficient notice of the forum clause before entering the contract for passage.</w:t>
      </w:r>
    </w:p>
    <w:p w:rsidR="00032A5B" w:rsidRDefault="00032A5B" w:rsidP="00032A5B">
      <w:pPr>
        <w:spacing w:before="120"/>
      </w:pPr>
      <w:r>
        <w:t xml:space="preserve">Within this context, respondents urge that the forum clause should not be enforced because . . . the clause was not the product of negotiation, and enforcement effectively would deprive respondents of their day in court. . .  </w:t>
      </w:r>
    </w:p>
    <w:p w:rsidR="00032A5B" w:rsidRDefault="00032A5B" w:rsidP="00032A5B">
      <w:pPr>
        <w:spacing w:before="120"/>
      </w:pPr>
    </w:p>
    <w:p w:rsidR="00032A5B" w:rsidRDefault="00032A5B" w:rsidP="00032A5B">
      <w:pPr>
        <w:spacing w:before="120"/>
      </w:pPr>
      <w:r>
        <w:t>IV</w:t>
      </w:r>
    </w:p>
    <w:p w:rsidR="00032A5B" w:rsidRDefault="00032A5B" w:rsidP="00032A5B"/>
    <w:p w:rsidR="00032A5B" w:rsidRDefault="00032A5B" w:rsidP="00032A5B">
      <w:r>
        <w:t>. . . .  Respondents' passage contract was purely routine and doubtless nearly identical to every commercial passage contract issued by petitioner and most other cruise lines.  In this context, it would be entirely unreasonable for us to assume that respondents — or any other cruise passenger — would negotiate with petitioner the terms of a forum-selection clause in an ordinary commercial cruise ticket. Common sense dictates that a ticket of this kind will be a form contract the terms of which are not subject to negotiation, and that an individual purchasing the ticket will not have bargaining parity with the cruise line. . . .</w:t>
      </w:r>
    </w:p>
    <w:p w:rsidR="00032A5B" w:rsidRDefault="00032A5B" w:rsidP="00032A5B">
      <w:pPr>
        <w:spacing w:before="120"/>
      </w:pPr>
      <w:r>
        <w:t xml:space="preserve">Including a reasonable forum clause in a form contract of this kind well may be permissible for several reasons: First, a cruise line has a special interest in limiting the fora in which it potentially could be subject to suit.  Because a cruise ship typically carries passengers from many locales, it is not unlikely that a mishap on a cruise could subject the cruise line to litigation in several different fora. Additionally, a clause establishing </w:t>
      </w:r>
      <w:r>
        <w:rPr>
          <w:i/>
          <w:iCs/>
        </w:rPr>
        <w:t>ex ante</w:t>
      </w:r>
      <w:r>
        <w:t xml:space="preserve"> the forum for dispute resolution has the salutary  effect of dispelling any confusion about where suits arising from the contract must be brought and defended, sparing litigants the time and expense of pretrial motions to determine the correct forum and conserving judicial resources that otherwise would be devoted to deciding those motions.  Finally, it stands to reason that passengers who purchase tickets containing a forum clause like that at issue in this case benefit in the form of reduced fares reflecting the savings that the cruise line enjoys by limiting the fora in which it may be sued. . . .  </w:t>
      </w:r>
    </w:p>
    <w:p w:rsidR="00032A5B" w:rsidRDefault="00032A5B" w:rsidP="00032A5B">
      <w:pPr>
        <w:spacing w:before="120"/>
      </w:pPr>
      <w:r>
        <w:t xml:space="preserve">It bears emphasis that forum-selection clauses contained in form passage contracts are subject to judicial scrutiny for fundamental fairness.  In this case, there is no indication that petitioner set Florida as the forum in which disputes were to be resolved as a means of discouraging cruise passengers from pursuing legitimate claims.  Any suggestion of such a bad-faith motive is belied by two facts: Petitioner has its principal place of business in </w:t>
      </w:r>
      <w:smartTag w:uri="urn:schemas-microsoft-com:office:smarttags" w:element="State">
        <w:r>
          <w:t>Florida</w:t>
        </w:r>
      </w:smartTag>
      <w:r>
        <w:t xml:space="preserve">, and many of its cruises depart from and return to </w:t>
      </w:r>
      <w:smartTag w:uri="urn:schemas-microsoft-com:office:smarttags" w:element="place">
        <w:smartTag w:uri="urn:schemas-microsoft-com:office:smarttags" w:element="State">
          <w:r>
            <w:t>Florida</w:t>
          </w:r>
        </w:smartTag>
      </w:smartTag>
      <w:r>
        <w:t xml:space="preserve"> ports. Similarly, there is no evidence that petitioner obtained respondents' accession to the forum clause by fraud or overreaching.  Finally, respondents have conceded that they were given notice of the forum provision and, therefore, presumably retained the option of rejecting the contract with impunity.  In the case before us, therefore, we conclude that the Court of Appeals erred in refusing to enforce the forum-selection clause. </w:t>
      </w:r>
    </w:p>
    <w:p w:rsidR="00032A5B" w:rsidRDefault="00032A5B" w:rsidP="00032A5B">
      <w:pPr>
        <w:spacing w:before="120"/>
      </w:pPr>
      <w:r>
        <w:t xml:space="preserve">. . . By its plain language, the forum-selection clause before us does not take away respondents' right to "a trial by [a] court of competent jurisdiction." Instead, the clause states specifically that actions arising out of the passage contract shall be brought "if at all," in a court "located in the State of Florida," which, plainly, is a "court of competent jurisdiction" within the meaning of the statute. . . </w:t>
      </w:r>
    </w:p>
    <w:p w:rsidR="00032A5B" w:rsidRDefault="00032A5B" w:rsidP="00032A5B">
      <w:pPr>
        <w:spacing w:before="120"/>
      </w:pPr>
      <w:r>
        <w:lastRenderedPageBreak/>
        <w:t xml:space="preserve">The clause before us allows for judicial resolution of claims against petitioner and does not purport to limit petitioner's liability for negligence . . . </w:t>
      </w:r>
    </w:p>
    <w:p w:rsidR="00032A5B" w:rsidRDefault="00032A5B" w:rsidP="00032A5B">
      <w:pPr>
        <w:spacing w:before="120"/>
      </w:pPr>
    </w:p>
    <w:p w:rsidR="00032A5B" w:rsidRDefault="00032A5B" w:rsidP="00032A5B">
      <w:pPr>
        <w:spacing w:before="120"/>
      </w:pPr>
      <w:r>
        <w:t xml:space="preserve">V </w:t>
      </w:r>
    </w:p>
    <w:p w:rsidR="00032A5B" w:rsidRDefault="00032A5B" w:rsidP="00032A5B">
      <w:pPr>
        <w:spacing w:before="120"/>
      </w:pPr>
      <w:r>
        <w:t xml:space="preserve">The judgment of the Court of Appeals is reversed. </w:t>
      </w:r>
    </w:p>
    <w:p w:rsidR="00032A5B" w:rsidRDefault="00032A5B" w:rsidP="00032A5B">
      <w:pPr>
        <w:spacing w:before="120"/>
      </w:pPr>
      <w:r>
        <w:rPr>
          <w:i/>
          <w:iCs/>
        </w:rPr>
        <w:t>It is so ordered</w:t>
      </w:r>
      <w:r>
        <w:t xml:space="preserve">.  </w:t>
      </w:r>
    </w:p>
    <w:p w:rsidR="00032A5B" w:rsidRDefault="00032A5B" w:rsidP="00032A5B"/>
    <w:p w:rsidR="00032A5B" w:rsidRDefault="00032A5B" w:rsidP="00032A5B">
      <w:pPr>
        <w:rPr>
          <w:b/>
          <w:bCs/>
        </w:rPr>
      </w:pPr>
    </w:p>
    <w:p w:rsidR="00032A5B" w:rsidRDefault="00032A5B" w:rsidP="00032A5B">
      <w:pPr>
        <w:rPr>
          <w:b/>
          <w:bCs/>
        </w:rPr>
      </w:pPr>
    </w:p>
    <w:p w:rsidR="00032A5B" w:rsidRDefault="00032A5B" w:rsidP="00032A5B">
      <w:r w:rsidRPr="00B36433">
        <w:rPr>
          <w:bCs/>
        </w:rPr>
        <w:t>DISSENT BY:</w:t>
      </w:r>
      <w:r>
        <w:rPr>
          <w:b/>
          <w:bCs/>
        </w:rPr>
        <w:t xml:space="preserve"> </w:t>
      </w:r>
      <w:r>
        <w:t xml:space="preserve">STEVENS; MARSHALL </w:t>
      </w:r>
    </w:p>
    <w:p w:rsidR="00032A5B" w:rsidRDefault="00032A5B" w:rsidP="00032A5B">
      <w:pPr>
        <w:spacing w:before="120"/>
      </w:pPr>
      <w:r>
        <w:t xml:space="preserve">Justice Stevens, with whom Justice Marshall joins, dissenting. </w:t>
      </w:r>
    </w:p>
    <w:p w:rsidR="00032A5B" w:rsidRDefault="00032A5B" w:rsidP="00032A5B">
      <w:pPr>
        <w:spacing w:before="120"/>
      </w:pPr>
      <w:r>
        <w:t>The Court prefaces its legal analysis with a factual statement that implies that a purchaser of a Carnival Cruise Lines passenger ticket is fully and fairly notified about the existence of the choice of forum clause in the fine print on the back of the ticket. Even if this implication were accurate, I would disagree with the Court's analysis.  But, given the Court's preface, I begin my dissent by noting that only the most meticulous passenger is likely to become aware of the forum-selection provision.  I have therefore appended to this opinion a facsimile of the relevant text, using the type size that actually appears in the ticket itself.  A careful reader will find the forum-selection clause in the 8th of the 25 numbered paragraphs.</w:t>
      </w:r>
    </w:p>
    <w:p w:rsidR="00032A5B" w:rsidRDefault="00032A5B" w:rsidP="00032A5B">
      <w:pPr>
        <w:spacing w:before="120"/>
      </w:pPr>
      <w:r>
        <w:t xml:space="preserve">Of course, many passengers, like the respondents in this case, will not have an opportunity to read paragraph 8 until they have actually purchased their tickets. By this point, the passengers will already have accepted the condition set forth in paragraph 16(a), which provides that "the Carrier shall not be liable to make any refund to passengers in respect of . . . tickets wholly or partly not used by a passenger." Not knowing whether or not that provision is legally enforceable, I assume that the average passenger would accept the risk of having to file suit in </w:t>
      </w:r>
      <w:smartTag w:uri="urn:schemas-microsoft-com:office:smarttags" w:element="place">
        <w:smartTag w:uri="urn:schemas-microsoft-com:office:smarttags" w:element="State">
          <w:r>
            <w:t>Florida</w:t>
          </w:r>
        </w:smartTag>
      </w:smartTag>
      <w:r>
        <w:t xml:space="preserve"> in the event of an injury, rather than canceling — without a refund — a planned vacation at the last minute.  The fact that the cruise line can reduce its litigation costs, and therefore its liability insurance premiums, by forcing this choice on its passengers does not, in my opinion, suffice to render the  provision reasonable. . . .</w:t>
      </w:r>
    </w:p>
    <w:p w:rsidR="00032A5B" w:rsidRDefault="00032A5B" w:rsidP="00032A5B">
      <w:pPr>
        <w:spacing w:before="120"/>
      </w:pPr>
      <w:r>
        <w:t xml:space="preserve">The stipulation in the ticket that Carnival Cruise sold to respondents certainly lessens or weakens their ability to recover for the slip and fall incident that occurred off the west coast of </w:t>
      </w:r>
      <w:smartTag w:uri="urn:schemas-microsoft-com:office:smarttags" w:element="country-region">
        <w:r>
          <w:t>Mexico</w:t>
        </w:r>
      </w:smartTag>
      <w:r>
        <w:t xml:space="preserve"> during the cruise that originated and terminated in </w:t>
      </w:r>
      <w:smartTag w:uri="urn:schemas-microsoft-com:office:smarttags" w:element="place">
        <w:smartTag w:uri="urn:schemas-microsoft-com:office:smarttags" w:element="City">
          <w:r>
            <w:t>Los Angeles</w:t>
          </w:r>
        </w:smartTag>
        <w:r>
          <w:t xml:space="preserve">, </w:t>
        </w:r>
        <w:smartTag w:uri="urn:schemas-microsoft-com:office:smarttags" w:element="State">
          <w:r>
            <w:t>California</w:t>
          </w:r>
        </w:smartTag>
      </w:smartTag>
      <w:r>
        <w:t xml:space="preserve">.  It is safe to assume that the witnesses — whether other passengers or members of the crew — can be assembled with less expense and inconvenience at a west coast forum than in a </w:t>
      </w:r>
      <w:smartTag w:uri="urn:schemas-microsoft-com:office:smarttags" w:element="place">
        <w:smartTag w:uri="urn:schemas-microsoft-com:office:smarttags" w:element="State">
          <w:r>
            <w:t>Florida</w:t>
          </w:r>
        </w:smartTag>
      </w:smartTag>
      <w:r>
        <w:t xml:space="preserve"> court several thousand miles from the scene of the accident. . . . </w:t>
      </w:r>
    </w:p>
    <w:p w:rsidR="00032A5B" w:rsidRDefault="00032A5B" w:rsidP="00032A5B">
      <w:pPr>
        <w:spacing w:before="120"/>
      </w:pPr>
      <w:r>
        <w:t>I respectfully dissent.</w:t>
      </w:r>
    </w:p>
    <w:p w:rsidR="00032A5B" w:rsidRDefault="00032A5B" w:rsidP="00032A5B">
      <w:pPr>
        <w:jc w:val="center"/>
      </w:pPr>
      <w:r>
        <w:br w:type="page"/>
      </w:r>
      <w:r>
        <w:lastRenderedPageBreak/>
        <w:t>ERIE RAILROAD CO. v. TOMPKINS,</w:t>
      </w:r>
    </w:p>
    <w:p w:rsidR="00032A5B" w:rsidRDefault="00032A5B" w:rsidP="00032A5B">
      <w:pPr>
        <w:pStyle w:val="Heading3"/>
        <w:ind w:left="0" w:firstLine="0"/>
        <w:jc w:val="center"/>
        <w:rPr>
          <w:sz w:val="20"/>
        </w:rPr>
      </w:pPr>
    </w:p>
    <w:p w:rsidR="00032A5B" w:rsidRDefault="00032A5B" w:rsidP="00032A5B">
      <w:pPr>
        <w:pStyle w:val="Heading3"/>
        <w:ind w:left="0" w:firstLine="0"/>
        <w:jc w:val="center"/>
        <w:rPr>
          <w:sz w:val="20"/>
        </w:rPr>
      </w:pPr>
      <w:smartTag w:uri="urn:schemas-microsoft-com:office:smarttags" w:element="place">
        <w:smartTag w:uri="urn:schemas-microsoft-com:office:smarttags" w:element="country-region">
          <w:r>
            <w:rPr>
              <w:sz w:val="20"/>
            </w:rPr>
            <w:t>U.S.</w:t>
          </w:r>
        </w:smartTag>
      </w:smartTag>
      <w:r>
        <w:rPr>
          <w:sz w:val="20"/>
        </w:rPr>
        <w:t xml:space="preserve"> Supreme Court </w:t>
      </w:r>
    </w:p>
    <w:p w:rsidR="00032A5B" w:rsidRDefault="00032A5B" w:rsidP="00032A5B">
      <w:pPr>
        <w:pStyle w:val="Heading3"/>
        <w:ind w:left="0" w:firstLine="0"/>
        <w:jc w:val="center"/>
        <w:rPr>
          <w:sz w:val="20"/>
        </w:rPr>
      </w:pPr>
    </w:p>
    <w:p w:rsidR="00032A5B" w:rsidRDefault="00032A5B" w:rsidP="00032A5B">
      <w:pPr>
        <w:pStyle w:val="Heading3"/>
        <w:ind w:left="0" w:firstLine="0"/>
        <w:jc w:val="center"/>
        <w:rPr>
          <w:sz w:val="20"/>
        </w:rPr>
      </w:pPr>
      <w:r>
        <w:rPr>
          <w:sz w:val="20"/>
        </w:rPr>
        <w:t xml:space="preserve">304 </w:t>
      </w:r>
      <w:smartTag w:uri="urn:schemas-microsoft-com:office:smarttags" w:element="place">
        <w:smartTag w:uri="urn:schemas-microsoft-com:office:smarttags" w:element="country-region">
          <w:r>
            <w:rPr>
              <w:sz w:val="20"/>
            </w:rPr>
            <w:t>U.S.</w:t>
          </w:r>
        </w:smartTag>
      </w:smartTag>
      <w:r>
        <w:rPr>
          <w:sz w:val="20"/>
        </w:rPr>
        <w:t xml:space="preserve"> 64 (1938)</w:t>
      </w:r>
    </w:p>
    <w:p w:rsidR="00032A5B" w:rsidRDefault="00032A5B" w:rsidP="00032A5B">
      <w:pPr>
        <w:pStyle w:val="NormalWeb"/>
        <w:spacing w:before="0" w:after="0"/>
        <w:jc w:val="center"/>
        <w:rPr>
          <w:sz w:val="20"/>
        </w:rPr>
      </w:pPr>
      <w:r>
        <w:rPr>
          <w:sz w:val="20"/>
        </w:rPr>
        <w:t xml:space="preserve">Decided </w:t>
      </w:r>
      <w:smartTag w:uri="urn:schemas-microsoft-com:office:smarttags" w:element="date">
        <w:smartTagPr>
          <w:attr w:name="Month" w:val="4"/>
          <w:attr w:name="Day" w:val="25"/>
          <w:attr w:name="Year" w:val="1938"/>
        </w:smartTagPr>
        <w:smartTag w:uri="urn:schemas-microsoft-com:office:smarttags" w:element="date">
          <w:smartTagPr>
            <w:attr w:name="ls" w:val="trans"/>
            <w:attr w:name="Month" w:val="4"/>
            <w:attr w:name="Day" w:val="25"/>
            <w:attr w:name="Year" w:val="19"/>
          </w:smartTagPr>
          <w:r>
            <w:rPr>
              <w:sz w:val="20"/>
            </w:rPr>
            <w:t>April 25, 19</w:t>
          </w:r>
        </w:smartTag>
        <w:r>
          <w:rPr>
            <w:sz w:val="20"/>
          </w:rPr>
          <w:t>38</w:t>
        </w:r>
      </w:smartTag>
      <w:r>
        <w:rPr>
          <w:sz w:val="20"/>
        </w:rPr>
        <w:t>.</w:t>
      </w:r>
    </w:p>
    <w:p w:rsidR="00032A5B" w:rsidRDefault="00032A5B" w:rsidP="00032A5B">
      <w:pPr>
        <w:pStyle w:val="NormalWeb"/>
        <w:spacing w:before="0" w:after="0"/>
        <w:rPr>
          <w:sz w:val="20"/>
        </w:rPr>
      </w:pPr>
    </w:p>
    <w:p w:rsidR="00032A5B" w:rsidRDefault="00032A5B" w:rsidP="00032A5B">
      <w:pPr>
        <w:pStyle w:val="NormalWeb"/>
        <w:jc w:val="both"/>
        <w:rPr>
          <w:sz w:val="20"/>
        </w:rPr>
      </w:pPr>
      <w:r>
        <w:rPr>
          <w:sz w:val="20"/>
        </w:rPr>
        <w:t xml:space="preserve">Mr. Justice BRANDEIS delivered the opinion of the Court. </w:t>
      </w:r>
    </w:p>
    <w:p w:rsidR="00032A5B" w:rsidRDefault="00032A5B" w:rsidP="00032A5B">
      <w:pPr>
        <w:pStyle w:val="NormalWeb"/>
        <w:jc w:val="both"/>
        <w:rPr>
          <w:sz w:val="20"/>
        </w:rPr>
      </w:pPr>
      <w:r>
        <w:rPr>
          <w:sz w:val="20"/>
        </w:rPr>
        <w:t xml:space="preserve">The question for decision is whether the oft-challenged doctrine of Swift v. Tyson shall now be disapproved. </w:t>
      </w:r>
    </w:p>
    <w:p w:rsidR="00032A5B" w:rsidRDefault="00032A5B" w:rsidP="00032A5B">
      <w:pPr>
        <w:pStyle w:val="NormalWeb"/>
        <w:jc w:val="both"/>
        <w:rPr>
          <w:sz w:val="20"/>
        </w:rPr>
      </w:pPr>
      <w:r>
        <w:rPr>
          <w:sz w:val="20"/>
        </w:rPr>
        <w:t xml:space="preserve">Tompkins, a citizen of </w:t>
      </w:r>
      <w:smartTag w:uri="urn:schemas-microsoft-com:office:smarttags" w:element="place">
        <w:smartTag w:uri="urn:schemas-microsoft-com:office:smarttags" w:element="State">
          <w:r>
            <w:rPr>
              <w:sz w:val="20"/>
            </w:rPr>
            <w:t>Pennsylvania</w:t>
          </w:r>
        </w:smartTag>
      </w:smartTag>
      <w:r>
        <w:rPr>
          <w:sz w:val="20"/>
        </w:rPr>
        <w:t xml:space="preserve">, was injured on a dark night by a passing freight train of the Erie Railroad Company while walking along its right of way at Hughestown in that state. He claimed that the accident occurred through negligence in the operation, or maintenance, of the train; that he was rightfully on the premises as licensee because on a commonly used beaten footpath which ran for a short distance alongside the tracks; and that he was struck by something which looked like a door projecting from one of the moving cars. To enforce that claim he brought an action in the federal court for </w:t>
      </w:r>
      <w:smartTag w:uri="urn:schemas-microsoft-com:office:smarttags" w:element="place">
        <w:r>
          <w:rPr>
            <w:sz w:val="20"/>
          </w:rPr>
          <w:t>Southern New York</w:t>
        </w:r>
      </w:smartTag>
      <w:r>
        <w:rPr>
          <w:sz w:val="20"/>
        </w:rPr>
        <w:t>, which had jurisdiction because the company is a corporation of that state. It denied liability; and the case was tried by a jury. </w:t>
      </w:r>
      <w:r>
        <w:rPr>
          <w:color w:val="005500"/>
          <w:sz w:val="20"/>
        </w:rPr>
        <w:t xml:space="preserve"> </w:t>
      </w:r>
      <w:r>
        <w:rPr>
          <w:sz w:val="20"/>
        </w:rPr>
        <w:t xml:space="preserve">The </w:t>
      </w:r>
      <w:smartTag w:uri="urn:schemas-microsoft-com:office:smarttags" w:element="place">
        <w:smartTag w:uri="urn:schemas-microsoft-com:office:smarttags" w:element="City">
          <w:r>
            <w:rPr>
              <w:sz w:val="20"/>
            </w:rPr>
            <w:t>Erie</w:t>
          </w:r>
        </w:smartTag>
      </w:smartTag>
      <w:r>
        <w:rPr>
          <w:sz w:val="20"/>
        </w:rPr>
        <w:t xml:space="preserve"> insisted that its duty to Tompkins was no greater than that owed to a trespasser.  It contended, among other things, that its duty to Tompkins, and hence its liability, should be determined in accordance with the Pennsylvania law; that under the law of Pennsylvania, as declared by its highest court, persons who use pathways along the railroad right of way—that is, a longitudinal pathway as distinguished from a crossing—are to be deemed trespassers; and that the railroad is not liable for injuries to undiscovered trespassers resulting from its negligence, unless it be wanton or willful.  Tompkins denied that any such rule had been established by the decisions of the </w:t>
      </w:r>
      <w:smartTag w:uri="urn:schemas-microsoft-com:office:smarttags" w:element="place">
        <w:smartTag w:uri="urn:schemas-microsoft-com:office:smarttags" w:element="State">
          <w:r>
            <w:rPr>
              <w:sz w:val="20"/>
            </w:rPr>
            <w:t>Pennsylvania</w:t>
          </w:r>
        </w:smartTag>
      </w:smartTag>
      <w:r>
        <w:rPr>
          <w:sz w:val="20"/>
        </w:rPr>
        <w:t xml:space="preserve"> courts; and contended that, since there was no statute of the state on the subject, the railroad's duty and liability is to be determined in federal courts as a matter of general law.</w:t>
      </w:r>
    </w:p>
    <w:p w:rsidR="00032A5B" w:rsidRDefault="00032A5B" w:rsidP="00032A5B">
      <w:pPr>
        <w:pStyle w:val="NormalWeb"/>
        <w:jc w:val="both"/>
        <w:rPr>
          <w:sz w:val="20"/>
        </w:rPr>
      </w:pPr>
      <w:r>
        <w:rPr>
          <w:sz w:val="20"/>
        </w:rPr>
        <w:t>The trial judge refused to rule that the applicable law precluded recovery. The jury brought in a verdict of $30,000; and the judgment entered thereon was affirmed by the Circuit Court of Appeals, which held . . . that it was unnecessary to consider whether the law of Pennsylvania was as contended, because the question was one not of local, but of general, law, and that 'upon questions of general law the federal courts are free, in absence of a local statute, to exercise their independent judgment as to what the law is; and it is well settled that the question of the responsibility of a railroad for injuries caused by its servants is one of general law. . . . Where the public has made open and notorious use of a railroad right of way for a long period of time and without objection, the company owes to persons on such permissive pathway a duty of care in the operation of its trains. . . . It is likewise generally recognized law that a jury may find that negligence exists toward a pedestrian using a permissive path on the railroad right of way if he is hit by some object projecting from the side of the train.' . . . .</w:t>
      </w:r>
    </w:p>
    <w:p w:rsidR="00032A5B" w:rsidRDefault="00032A5B" w:rsidP="00032A5B">
      <w:pPr>
        <w:pStyle w:val="NormalWeb"/>
        <w:jc w:val="both"/>
        <w:rPr>
          <w:sz w:val="20"/>
        </w:rPr>
      </w:pPr>
      <w:r>
        <w:rPr>
          <w:sz w:val="20"/>
        </w:rPr>
        <w:t xml:space="preserve">Because of the importance of the question whether the federal court was free to disregard the alleged rule of the </w:t>
      </w:r>
      <w:smartTag w:uri="urn:schemas-microsoft-com:office:smarttags" w:element="place">
        <w:smartTag w:uri="urn:schemas-microsoft-com:office:smarttags" w:element="State">
          <w:r>
            <w:rPr>
              <w:sz w:val="20"/>
            </w:rPr>
            <w:t>Pennsylvania</w:t>
          </w:r>
        </w:smartTag>
      </w:smartTag>
      <w:r>
        <w:rPr>
          <w:sz w:val="20"/>
        </w:rPr>
        <w:t xml:space="preserve"> common law, we granted certiorari. . . . </w:t>
      </w:r>
    </w:p>
    <w:p w:rsidR="00032A5B" w:rsidRDefault="00032A5B" w:rsidP="00032A5B">
      <w:pPr>
        <w:pStyle w:val="NormalWeb"/>
        <w:jc w:val="both"/>
        <w:rPr>
          <w:sz w:val="20"/>
        </w:rPr>
      </w:pPr>
      <w:r>
        <w:rPr>
          <w:sz w:val="20"/>
        </w:rPr>
        <w:t>Swift v. Tyson [1842], held that federal courts exercising jurisdiction on the ground of diversity of citizenship need not, in matters of general jurisprudence, apply the unwritten law of the state as declared by its highest court; that they are free to exercise an independent judgment as to what the common law of the state is—or should be . . . Criticism of the doctrine became widespread . . . . The injustice and confusion incident to the doctrine of Swift v. Tyson have been repeatedly urged as reasons for abolishing or limiting diversity of citizenship jurisdiction. </w:t>
      </w:r>
      <w:hyperlink r:id="rId8" w:anchor="f20" w:history="1"/>
      <w:hyperlink r:id="rId9" w:anchor="f20" w:history="1"/>
      <w:r>
        <w:rPr>
          <w:sz w:val="20"/>
        </w:rPr>
        <w:t xml:space="preserve">. . . </w:t>
      </w:r>
    </w:p>
    <w:p w:rsidR="00032A5B" w:rsidRDefault="00032A5B" w:rsidP="00032A5B">
      <w:pPr>
        <w:pStyle w:val="NormalWeb"/>
        <w:jc w:val="both"/>
        <w:rPr>
          <w:sz w:val="20"/>
        </w:rPr>
      </w:pPr>
      <w:r>
        <w:rPr>
          <w:sz w:val="20"/>
        </w:rPr>
        <w:t xml:space="preserve">Except in matters governed by the Federal Constitution or by acts of Congress, the law to be applied in any case is the law of the state.  And whether the law of the state shall be declared by its Legislature in a statute or by its highest court in a decision is not a matter of federal concern.  There is no federal general common law.  Congress has no power to declare substantive rules of common law applicable in a state whether they be local in their nature or 'general,' be they commercial </w:t>
      </w:r>
      <w:r>
        <w:rPr>
          <w:sz w:val="20"/>
        </w:rPr>
        <w:lastRenderedPageBreak/>
        <w:t xml:space="preserve">law or a part of the law of torts.  And no clause in the Constitution purports to confer such a power upon the federal courts. . . . </w:t>
      </w:r>
    </w:p>
    <w:p w:rsidR="00032A5B" w:rsidRDefault="00032A5B" w:rsidP="00032A5B">
      <w:pPr>
        <w:pStyle w:val="NormalWeb"/>
        <w:jc w:val="both"/>
        <w:rPr>
          <w:sz w:val="20"/>
        </w:rPr>
      </w:pPr>
      <w:r>
        <w:rPr>
          <w:sz w:val="20"/>
        </w:rPr>
        <w:t xml:space="preserve">The fallacy underlying the rule declared in Swift v. Tyson is made clear by Mr. Justice Holmes.  The doctrine rests upon the assumption that there is 'a transcendental body of law outside of any particular State but obligatory within it unless and until changed by statute,' that federal courts have the power to use their judgment as to what the rules of common law are; and that in the federal courts 'the parties are entitled to an independent judgment on matters of general law'. . . </w:t>
      </w:r>
    </w:p>
    <w:p w:rsidR="00032A5B" w:rsidRDefault="00032A5B" w:rsidP="00032A5B">
      <w:pPr>
        <w:jc w:val="both"/>
      </w:pPr>
      <w:r>
        <w:t xml:space="preserve">Thus the doctrine of Swift v. Tyson is, as Mr. Justice Holmes said, 'an unconstitutional assumption of powers by the Courts of the </w:t>
      </w:r>
      <w:smartTag w:uri="urn:schemas-microsoft-com:office:smarttags" w:element="place">
        <w:smartTag w:uri="urn:schemas-microsoft-com:office:smarttags" w:element="country-region">
          <w:r>
            <w:t>United States</w:t>
          </w:r>
        </w:smartTag>
      </w:smartTag>
      <w:r>
        <w:t xml:space="preserve"> which no lapse of time or respectable array of opinion should make us hesitate to correct.'  In disapproving that doctrine we . . . declare that in applying the doctrine this Court and the lower courts have invaded rights which in our opinion are reserved by the Constitution to the several states. </w:t>
      </w:r>
    </w:p>
    <w:p w:rsidR="00032A5B" w:rsidRDefault="00032A5B" w:rsidP="00032A5B">
      <w:pPr>
        <w:pStyle w:val="NormalWeb"/>
        <w:jc w:val="both"/>
        <w:rPr>
          <w:sz w:val="20"/>
        </w:rPr>
      </w:pPr>
      <w:r>
        <w:rPr>
          <w:sz w:val="20"/>
        </w:rPr>
        <w:t xml:space="preserve">The defendant contended that by the common law of </w:t>
      </w:r>
      <w:smartTag w:uri="urn:schemas-microsoft-com:office:smarttags" w:element="place">
        <w:smartTag w:uri="urn:schemas-microsoft-com:office:smarttags" w:element="State">
          <w:r>
            <w:rPr>
              <w:sz w:val="20"/>
            </w:rPr>
            <w:t>Pennsylvania</w:t>
          </w:r>
        </w:smartTag>
      </w:smartTag>
      <w:r>
        <w:rPr>
          <w:sz w:val="20"/>
        </w:rPr>
        <w:t xml:space="preserve"> as declared by its highest court . . . . the only duty owed to the plaintiff was to refrain from willful or wanton injury.  The plaintiff denied that such is the </w:t>
      </w:r>
      <w:smartTag w:uri="urn:schemas-microsoft-com:office:smarttags" w:element="place">
        <w:smartTag w:uri="urn:schemas-microsoft-com:office:smarttags" w:element="State">
          <w:r>
            <w:rPr>
              <w:sz w:val="20"/>
            </w:rPr>
            <w:t>Pennsylvania</w:t>
          </w:r>
        </w:smartTag>
      </w:smartTag>
      <w:r>
        <w:rPr>
          <w:sz w:val="20"/>
        </w:rPr>
        <w:t xml:space="preserve"> law. </w:t>
      </w:r>
      <w:hyperlink r:id="rId10" w:anchor="f24" w:history="1"/>
      <w:hyperlink r:id="rId11" w:anchor="f24" w:history="1"/>
      <w:r>
        <w:rPr>
          <w:sz w:val="20"/>
        </w:rPr>
        <w:t xml:space="preserve">  In support of their respective contentions the parties discussed and cited many decisions of the Supreme Court of the state.  The Circuit Court of Appeals ruled that the question of liability is one of general law; and on that ground declined to decide the issue of state law.  As we hold this was error, the judgment is reversed and the case remanded to it for further proceedings in conformity with our opinion. </w:t>
      </w:r>
    </w:p>
    <w:p w:rsidR="00032A5B" w:rsidRDefault="00032A5B" w:rsidP="00032A5B">
      <w:pPr>
        <w:pStyle w:val="NormalWeb"/>
        <w:jc w:val="both"/>
        <w:rPr>
          <w:sz w:val="20"/>
        </w:rPr>
      </w:pPr>
      <w:r>
        <w:rPr>
          <w:sz w:val="20"/>
        </w:rPr>
        <w:t xml:space="preserve">REVERSED. </w:t>
      </w:r>
    </w:p>
    <w:p w:rsidR="00032A5B" w:rsidRDefault="00032A5B" w:rsidP="00032A5B">
      <w:pPr>
        <w:pStyle w:val="NormalWeb"/>
        <w:jc w:val="both"/>
        <w:rPr>
          <w:sz w:val="20"/>
        </w:rPr>
      </w:pPr>
      <w:r>
        <w:rPr>
          <w:sz w:val="20"/>
        </w:rPr>
        <w:t xml:space="preserve">Mr. Justice CARDOZO took no part in the consideration or decision of this case. </w:t>
      </w:r>
    </w:p>
    <w:p w:rsidR="00032A5B" w:rsidRDefault="00032A5B" w:rsidP="00032A5B">
      <w:pPr>
        <w:jc w:val="both"/>
      </w:pPr>
      <w:r>
        <w:t>Mr. Justice BUTLER (dissenting).</w:t>
      </w:r>
    </w:p>
    <w:p w:rsidR="00032A5B" w:rsidRDefault="00032A5B" w:rsidP="00032A5B">
      <w:pPr>
        <w:jc w:val="both"/>
        <w:rPr>
          <w:sz w:val="24"/>
        </w:rPr>
      </w:pPr>
    </w:p>
    <w:p w:rsidR="00032A5B" w:rsidRDefault="00032A5B" w:rsidP="00032A5B">
      <w:pPr>
        <w:ind w:right="300"/>
        <w:jc w:val="center"/>
      </w:pPr>
      <w:r>
        <w:br w:type="page"/>
      </w:r>
      <w:r>
        <w:lastRenderedPageBreak/>
        <w:t xml:space="preserve">George WENDELKEN, Petitioner, </w:t>
      </w:r>
    </w:p>
    <w:p w:rsidR="00032A5B" w:rsidRDefault="00032A5B" w:rsidP="00032A5B">
      <w:pPr>
        <w:ind w:left="300" w:right="300"/>
        <w:jc w:val="center"/>
      </w:pPr>
      <w:r>
        <w:t xml:space="preserve">v. </w:t>
      </w:r>
    </w:p>
    <w:p w:rsidR="00032A5B" w:rsidRDefault="00032A5B" w:rsidP="00032A5B">
      <w:pPr>
        <w:ind w:left="300" w:right="300"/>
        <w:jc w:val="center"/>
      </w:pPr>
      <w:r>
        <w:t>Henry S. Sherrill, Respondent</w:t>
      </w:r>
    </w:p>
    <w:p w:rsidR="00032A5B" w:rsidRDefault="00032A5B" w:rsidP="00032A5B">
      <w:pPr>
        <w:ind w:left="300" w:right="300"/>
        <w:jc w:val="center"/>
      </w:pPr>
    </w:p>
    <w:p w:rsidR="00032A5B" w:rsidRDefault="00032A5B" w:rsidP="00032A5B">
      <w:pPr>
        <w:ind w:left="300" w:right="300"/>
        <w:jc w:val="center"/>
      </w:pPr>
    </w:p>
    <w:p w:rsidR="00032A5B" w:rsidRDefault="00032A5B" w:rsidP="00032A5B">
      <w:pPr>
        <w:ind w:left="300" w:right="300"/>
        <w:jc w:val="center"/>
      </w:pPr>
      <w:r>
        <w:t xml:space="preserve">Supreme Court of </w:t>
      </w:r>
      <w:smartTag w:uri="urn:schemas-microsoft-com:office:smarttags" w:element="place">
        <w:smartTag w:uri="urn:schemas-microsoft-com:office:smarttags" w:element="State">
          <w:r>
            <w:t>Arizona</w:t>
          </w:r>
        </w:smartTag>
      </w:smartTag>
    </w:p>
    <w:p w:rsidR="00032A5B" w:rsidRDefault="00032A5B" w:rsidP="00032A5B">
      <w:pPr>
        <w:ind w:left="300" w:right="300"/>
        <w:jc w:val="center"/>
      </w:pPr>
    </w:p>
    <w:p w:rsidR="00032A5B" w:rsidRDefault="00032A5B" w:rsidP="00032A5B">
      <w:pPr>
        <w:ind w:left="300" w:right="300"/>
        <w:jc w:val="center"/>
      </w:pPr>
      <w:r>
        <w:t xml:space="preserve">137 </w:t>
      </w:r>
      <w:smartTag w:uri="urn:schemas-microsoft-com:office:smarttags" w:element="place">
        <w:smartTag w:uri="urn:schemas-microsoft-com:office:smarttags" w:element="State">
          <w:r>
            <w:t>Ariz.</w:t>
          </w:r>
        </w:smartTag>
      </w:smartTag>
      <w:r>
        <w:t xml:space="preserve"> 455; 671 P.2d 896</w:t>
      </w:r>
    </w:p>
    <w:p w:rsidR="00032A5B" w:rsidRDefault="00032A5B" w:rsidP="00032A5B">
      <w:pPr>
        <w:ind w:left="300" w:right="300"/>
        <w:jc w:val="center"/>
      </w:pPr>
    </w:p>
    <w:p w:rsidR="00032A5B" w:rsidRDefault="00032A5B" w:rsidP="00032A5B">
      <w:pPr>
        <w:ind w:left="300" w:right="300"/>
        <w:jc w:val="center"/>
      </w:pPr>
      <w:smartTag w:uri="urn:schemas-microsoft-com:office:smarttags" w:element="date">
        <w:smartTagPr>
          <w:attr w:name="Month" w:val="9"/>
          <w:attr w:name="Day" w:val="26"/>
          <w:attr w:name="Year" w:val="1983"/>
        </w:smartTagPr>
        <w:r>
          <w:t>September 26, 1983</w:t>
        </w:r>
      </w:smartTag>
    </w:p>
    <w:p w:rsidR="00032A5B" w:rsidRDefault="00032A5B" w:rsidP="00032A5B">
      <w:pPr>
        <w:ind w:left="300" w:right="300"/>
        <w:jc w:val="both"/>
      </w:pPr>
    </w:p>
    <w:p w:rsidR="00032A5B" w:rsidRDefault="00032A5B" w:rsidP="00032A5B">
      <w:pPr>
        <w:ind w:left="300" w:right="300"/>
        <w:jc w:val="both"/>
      </w:pPr>
    </w:p>
    <w:p w:rsidR="00032A5B" w:rsidRDefault="00032A5B" w:rsidP="00032A5B">
      <w:pPr>
        <w:jc w:val="both"/>
      </w:pPr>
      <w:r>
        <w:t xml:space="preserve">JUDGES: In Banc.  Gordon, Vice Chief Justice.  Holohan, C.J., and Hays, Cameron and Feldman, JJ., concur.  </w:t>
      </w:r>
    </w:p>
    <w:p w:rsidR="00032A5B" w:rsidRDefault="00032A5B" w:rsidP="00032A5B">
      <w:pPr>
        <w:jc w:val="both"/>
      </w:pPr>
    </w:p>
    <w:p w:rsidR="00032A5B" w:rsidRDefault="00032A5B" w:rsidP="00032A5B">
      <w:pPr>
        <w:jc w:val="both"/>
      </w:pPr>
      <w:r>
        <w:t xml:space="preserve">OPINION BY: GORDON  </w:t>
      </w:r>
    </w:p>
    <w:p w:rsidR="00032A5B" w:rsidRDefault="00032A5B" w:rsidP="00032A5B">
      <w:pPr>
        <w:jc w:val="both"/>
      </w:pPr>
    </w:p>
    <w:p w:rsidR="00032A5B" w:rsidRDefault="00032A5B" w:rsidP="00032A5B">
      <w:pPr>
        <w:jc w:val="both"/>
      </w:pPr>
      <w:r>
        <w:t>George Wendelken, the plaintiff-petitioner, is a sixty-six year old widower and a member of an organization known as "</w:t>
      </w:r>
      <w:smartTag w:uri="urn:schemas-microsoft-com:office:smarttags" w:element="place">
        <w:smartTag w:uri="urn:schemas-microsoft-com:office:smarttags" w:element="State">
          <w:r>
            <w:t>Arizona</w:t>
          </w:r>
        </w:smartTag>
      </w:smartTag>
      <w:r>
        <w:t xml:space="preserve"> Singles Who's Who."  Wendelken is a resident of </w:t>
      </w:r>
      <w:smartTag w:uri="urn:schemas-microsoft-com:office:smarttags" w:element="place">
        <w:smartTag w:uri="urn:schemas-microsoft-com:office:smarttags" w:element="City">
          <w:r>
            <w:t>Scottsdale</w:t>
          </w:r>
        </w:smartTag>
        <w:r>
          <w:t xml:space="preserve">, </w:t>
        </w:r>
        <w:smartTag w:uri="urn:schemas-microsoft-com:office:smarttags" w:element="State">
          <w:r>
            <w:t>Arizona</w:t>
          </w:r>
        </w:smartTag>
      </w:smartTag>
      <w:r>
        <w:t xml:space="preserve">.  The defendant-respondent, Henry S. Sherrill, is also a member of "Arizona Singles Who's Who" and, in addition, belongs to a </w:t>
      </w:r>
      <w:smartTag w:uri="urn:schemas-microsoft-com:office:smarttags" w:element="place">
        <w:smartTag w:uri="urn:schemas-microsoft-com:office:smarttags" w:element="State">
          <w:r>
            <w:t>California</w:t>
          </w:r>
        </w:smartTag>
      </w:smartTag>
      <w:r>
        <w:t xml:space="preserve"> organization, "International Singles Who's Who." Sherrill is a resident of </w:t>
      </w:r>
      <w:smartTag w:uri="urn:schemas-microsoft-com:office:smarttags" w:element="place">
        <w:smartTag w:uri="urn:schemas-microsoft-com:office:smarttags" w:element="City">
          <w:r>
            <w:t>Tucson</w:t>
          </w:r>
        </w:smartTag>
        <w:r>
          <w:t xml:space="preserve">, </w:t>
        </w:r>
        <w:smartTag w:uri="urn:schemas-microsoft-com:office:smarttags" w:element="State">
          <w:r>
            <w:t>Arizona</w:t>
          </w:r>
        </w:smartTag>
      </w:smartTag>
      <w:r>
        <w:t xml:space="preserve">, with his home and business there.  Sherrill also has a vacation home in Puerto Penasco (Rocky Point), </w:t>
      </w:r>
      <w:smartTag w:uri="urn:schemas-microsoft-com:office:smarttags" w:element="place">
        <w:smartTag w:uri="urn:schemas-microsoft-com:office:smarttags" w:element="City">
          <w:r>
            <w:t>Sonora</w:t>
          </w:r>
        </w:smartTag>
        <w:r>
          <w:t xml:space="preserve">, </w:t>
        </w:r>
        <w:smartTag w:uri="urn:schemas-microsoft-com:office:smarttags" w:element="country-region">
          <w:r>
            <w:t>Mexico</w:t>
          </w:r>
        </w:smartTag>
      </w:smartTag>
      <w:r>
        <w:t>.</w:t>
      </w:r>
    </w:p>
    <w:p w:rsidR="00032A5B" w:rsidRDefault="00032A5B" w:rsidP="00032A5B">
      <w:pPr>
        <w:jc w:val="both"/>
      </w:pPr>
    </w:p>
    <w:p w:rsidR="00032A5B" w:rsidRDefault="00032A5B" w:rsidP="00032A5B">
      <w:pPr>
        <w:jc w:val="both"/>
      </w:pPr>
      <w:r>
        <w:t xml:space="preserve">Sometime prior to </w:t>
      </w:r>
      <w:smartTag w:uri="urn:schemas-microsoft-com:office:smarttags" w:element="date">
        <w:smartTagPr>
          <w:attr w:name="ls" w:val="trans"/>
          <w:attr w:name="Month" w:val="10"/>
          <w:attr w:name="Day" w:val="12"/>
          <w:attr w:name="Year" w:val="1979"/>
        </w:smartTagPr>
        <w:r>
          <w:t>October 12, 1979</w:t>
        </w:r>
      </w:smartTag>
      <w:r>
        <w:t xml:space="preserve">, the "Arizona Singles Who's Who" circulated an invitation from Sherrill to club members in Phoenix soliciting reservations for a Columbus Day weekend party to be held at Sherrill's Puerto Penasco property.  A similar invitation was circulated by the "International Singles Who's Who." A personal letter from Sherrill detailing the planned weekend was also distributed.  </w:t>
      </w:r>
    </w:p>
    <w:p w:rsidR="00032A5B" w:rsidRDefault="00032A5B" w:rsidP="00032A5B">
      <w:pPr>
        <w:jc w:val="both"/>
      </w:pPr>
    </w:p>
    <w:p w:rsidR="00032A5B" w:rsidRDefault="00032A5B" w:rsidP="00032A5B">
      <w:pPr>
        <w:pStyle w:val="BodyText2"/>
      </w:pPr>
      <w:r>
        <w:t xml:space="preserve">With two friends, Wendelken arrived at Sherrill's Puerto Penasco home during the afternoon of </w:t>
      </w:r>
      <w:smartTag w:uri="urn:schemas-microsoft-com:office:smarttags" w:element="date">
        <w:smartTagPr>
          <w:attr w:name="ls" w:val="trans"/>
          <w:attr w:name="Month" w:val="10"/>
          <w:attr w:name="Day" w:val="12"/>
          <w:attr w:name="Year" w:val="1979"/>
        </w:smartTagPr>
        <w:r>
          <w:t>October 12, 1979</w:t>
        </w:r>
      </w:smartTag>
      <w:r>
        <w:t xml:space="preserve">.  Upon his arrival, he discovered that the Mexican government had shut off all electricity to the Sherrill property. It was still daylight, though, and Wendelken and his companions were able to move about the house and to walk down a path to the beach without difficulty. However, after dark, the house and grounds were illuminated only by candlelight. While walking along the path that led from Sherrill's house to the beach, Wendelken fell several feet over the edge of the path and sustained a broken hip.  Other guests took Wendelken to a Mexican clinic for examination and then arranged with the Arizona Department of Public Safety for helicopter transportation to the Tucson Veteran's </w:t>
      </w:r>
      <w:smartTag w:uri="urn:schemas-microsoft-com:office:smarttags" w:element="place">
        <w:smartTag w:uri="urn:schemas-microsoft-com:office:smarttags" w:element="PlaceName">
          <w:r>
            <w:t>Administration</w:t>
          </w:r>
        </w:smartTag>
        <w:r>
          <w:t xml:space="preserve"> </w:t>
        </w:r>
        <w:smartTag w:uri="urn:schemas-microsoft-com:office:smarttags" w:element="PlaceType">
          <w:r>
            <w:t>Hospital</w:t>
          </w:r>
        </w:smartTag>
      </w:smartTag>
      <w:r>
        <w:t xml:space="preserve">.  There, he underwent surgery and subsequent care.  </w:t>
      </w:r>
    </w:p>
    <w:p w:rsidR="00032A5B" w:rsidRDefault="00032A5B" w:rsidP="00032A5B">
      <w:pPr>
        <w:jc w:val="both"/>
      </w:pPr>
    </w:p>
    <w:p w:rsidR="00032A5B" w:rsidRDefault="00032A5B" w:rsidP="00032A5B">
      <w:pPr>
        <w:jc w:val="both"/>
      </w:pPr>
      <w:r>
        <w:t xml:space="preserve">Wendelken timely filed suit against Sherrill in </w:t>
      </w:r>
      <w:smartTag w:uri="urn:schemas-microsoft-com:office:smarttags" w:element="place">
        <w:smartTag w:uri="urn:schemas-microsoft-com:office:smarttags" w:element="City">
          <w:r>
            <w:t>Pima County</w:t>
          </w:r>
        </w:smartTag>
        <w:r>
          <w:t xml:space="preserve">, </w:t>
        </w:r>
        <w:smartTag w:uri="urn:schemas-microsoft-com:office:smarttags" w:element="State">
          <w:r>
            <w:t>Arizona</w:t>
          </w:r>
        </w:smartTag>
      </w:smartTag>
      <w:r>
        <w:t xml:space="preserve">, seeking compensation for his injuries, his medical expenses, and his lost earnings. Trial on the matter was set for </w:t>
      </w:r>
      <w:smartTag w:uri="urn:schemas-microsoft-com:office:smarttags" w:element="date">
        <w:smartTagPr>
          <w:attr w:name="Month" w:val="2"/>
          <w:attr w:name="Day" w:val="8"/>
          <w:attr w:name="Year" w:val="1983"/>
        </w:smartTagPr>
        <w:r>
          <w:t>February 8, 1983</w:t>
        </w:r>
      </w:smartTag>
      <w:r>
        <w:t xml:space="preserve">.  On </w:t>
      </w:r>
      <w:smartTag w:uri="urn:schemas-microsoft-com:office:smarttags" w:element="date">
        <w:smartTagPr>
          <w:attr w:name="Month" w:val="1"/>
          <w:attr w:name="Day" w:val="5"/>
          <w:attr w:name="Year" w:val="1983"/>
        </w:smartTagPr>
        <w:r>
          <w:t>January 5, 1983</w:t>
        </w:r>
      </w:smartTag>
      <w:r>
        <w:t xml:space="preserve">, the trial court, the Honorable Lillian S. Fisher presiding, entered a minute entry granting Sherrill's Motion for Partial Summary Judgment and ordering that Mexican law would apply to "the issues of negligence, damages, and standard of care, etc."  Wendelken filed a Petition for Special Action with the Court of Appeals Division Two to vacate the trial court's order. Division Two dismissed that petition on </w:t>
      </w:r>
      <w:smartTag w:uri="urn:schemas-microsoft-com:office:smarttags" w:element="date">
        <w:smartTagPr>
          <w:attr w:name="Month" w:val="3"/>
          <w:attr w:name="Day" w:val="10"/>
          <w:attr w:name="Year" w:val="1983"/>
        </w:smartTagPr>
        <w:r>
          <w:t>March 10, 1983</w:t>
        </w:r>
      </w:smartTag>
      <w:r>
        <w:t xml:space="preserve">.  This petition for review followed.  Jurisdiction is found pursuant to the Arizona Constitution and the Arizona Rules of Civil Appellate Procedure.  As we find that </w:t>
      </w:r>
      <w:smartTag w:uri="urn:schemas-microsoft-com:office:smarttags" w:element="place">
        <w:smartTag w:uri="urn:schemas-microsoft-com:office:smarttags" w:element="State">
          <w:r>
            <w:t>Arizona</w:t>
          </w:r>
        </w:smartTag>
      </w:smartTag>
      <w:r>
        <w:t xml:space="preserve"> law should apply to all aspects of this case, we vacate the Court of Appeal's order dated </w:t>
      </w:r>
      <w:smartTag w:uri="urn:schemas-microsoft-com:office:smarttags" w:element="date">
        <w:smartTagPr>
          <w:attr w:name="Month" w:val="3"/>
          <w:attr w:name="Day" w:val="10"/>
          <w:attr w:name="Year" w:val="1983"/>
        </w:smartTagPr>
        <w:r>
          <w:t>March 10, 1983</w:t>
        </w:r>
      </w:smartTag>
      <w:r>
        <w:t>, as well as the trial court's ruling which granted Sherrill's Motion for Partial Summary Judgment, and remand the matter to the Superior Court for further proceedings consistent with this opinion.</w:t>
      </w:r>
    </w:p>
    <w:p w:rsidR="00032A5B" w:rsidRDefault="00032A5B" w:rsidP="00032A5B">
      <w:pPr>
        <w:jc w:val="both"/>
      </w:pPr>
    </w:p>
    <w:p w:rsidR="00032A5B" w:rsidRDefault="00032A5B" w:rsidP="00032A5B">
      <w:pPr>
        <w:jc w:val="both"/>
      </w:pPr>
      <w:r>
        <w:t xml:space="preserve">This petition for review raises only one issue: whether the laws of the country of </w:t>
      </w:r>
      <w:smartTag w:uri="urn:schemas-microsoft-com:office:smarttags" w:element="country-region">
        <w:r>
          <w:t>Mexico</w:t>
        </w:r>
      </w:smartTag>
      <w:r>
        <w:t xml:space="preserve"> or the laws of the State of </w:t>
      </w:r>
      <w:smartTag w:uri="urn:schemas-microsoft-com:office:smarttags" w:element="place">
        <w:smartTag w:uri="urn:schemas-microsoft-com:office:smarttags" w:element="State">
          <w:r>
            <w:t>Arizona</w:t>
          </w:r>
        </w:smartTag>
      </w:smartTag>
      <w:r>
        <w:t xml:space="preserve"> should apply to this action.  To make this choice between laws, we must look to the conflicts laws of </w:t>
      </w:r>
      <w:smartTag w:uri="urn:schemas-microsoft-com:office:smarttags" w:element="place">
        <w:smartTag w:uri="urn:schemas-microsoft-com:office:smarttags" w:element="State">
          <w:r>
            <w:t>Arizona</w:t>
          </w:r>
        </w:smartTag>
      </w:smartTag>
      <w:r>
        <w:t xml:space="preserve">, the forum state.  </w:t>
      </w:r>
    </w:p>
    <w:p w:rsidR="00032A5B" w:rsidRDefault="00032A5B" w:rsidP="00032A5B">
      <w:pPr>
        <w:jc w:val="both"/>
      </w:pPr>
    </w:p>
    <w:p w:rsidR="00032A5B" w:rsidRDefault="00032A5B" w:rsidP="00032A5B">
      <w:pPr>
        <w:jc w:val="both"/>
      </w:pPr>
      <w:r>
        <w:t xml:space="preserve">In </w:t>
      </w:r>
      <w:r>
        <w:rPr>
          <w:i/>
        </w:rPr>
        <w:t xml:space="preserve">Schwartz v. Schwartz, 103 </w:t>
      </w:r>
      <w:smartTag w:uri="urn:schemas-microsoft-com:office:smarttags" w:element="State">
        <w:r>
          <w:rPr>
            <w:i/>
          </w:rPr>
          <w:t>Ariz.</w:t>
        </w:r>
      </w:smartTag>
      <w:r>
        <w:rPr>
          <w:i/>
        </w:rPr>
        <w:t xml:space="preserve"> 562 (1968),</w:t>
      </w:r>
      <w:r>
        <w:t xml:space="preserve"> this Court adopted the rules embodied in the Restatement (Second) of Conflict of Laws as the rules for </w:t>
      </w:r>
      <w:smartTag w:uri="urn:schemas-microsoft-com:office:smarttags" w:element="place">
        <w:smartTag w:uri="urn:schemas-microsoft-com:office:smarttags" w:element="State">
          <w:r>
            <w:t>Arizona</w:t>
          </w:r>
        </w:smartTag>
      </w:smartTag>
      <w:r>
        <w:t xml:space="preserve">.  In so doing, we discarded the doctrine of lex loci delicti.  Had this case arisen while lex loci was still in effect, our response would have been automatic: since this incident occurred in </w:t>
      </w:r>
      <w:smartTag w:uri="urn:schemas-microsoft-com:office:smarttags" w:element="place">
        <w:smartTag w:uri="urn:schemas-microsoft-com:office:smarttags" w:element="country-region">
          <w:r>
            <w:t>Mexico</w:t>
          </w:r>
        </w:smartTag>
      </w:smartTag>
      <w:r>
        <w:t xml:space="preserve">, that </w:t>
      </w:r>
      <w:r>
        <w:lastRenderedPageBreak/>
        <w:t>country's law would be applied to all substantive issues.  However, as this case arose after the demise of lex loci, our response is not at all automatic.</w:t>
      </w:r>
    </w:p>
    <w:p w:rsidR="00032A5B" w:rsidRDefault="00032A5B" w:rsidP="00032A5B">
      <w:pPr>
        <w:jc w:val="both"/>
      </w:pPr>
    </w:p>
    <w:p w:rsidR="00032A5B" w:rsidRDefault="00032A5B" w:rsidP="00032A5B">
      <w:pPr>
        <w:jc w:val="both"/>
      </w:pPr>
      <w:r>
        <w:t>The Restatement (Second) § 145 sets forth the general principle by which tort choice of law questions are to be decided.  Approved by this court in Schwartz, § 145 provides:</w:t>
      </w:r>
    </w:p>
    <w:p w:rsidR="00032A5B" w:rsidRDefault="00032A5B" w:rsidP="00032A5B">
      <w:pPr>
        <w:jc w:val="both"/>
      </w:pPr>
      <w:r>
        <w:t xml:space="preserve">  </w:t>
      </w:r>
    </w:p>
    <w:p w:rsidR="00032A5B" w:rsidRDefault="00032A5B" w:rsidP="00032A5B">
      <w:pPr>
        <w:ind w:left="720"/>
        <w:jc w:val="both"/>
      </w:pPr>
      <w:r>
        <w:t xml:space="preserve"> "(1) The rights and liabilities of the parties with respect to an issue in tort are determined by the local law of the state which, with respect to that issue, has the most significant relationship to the occurrence and the parties under the principles stated in § 6.</w:t>
      </w:r>
    </w:p>
    <w:p w:rsidR="00032A5B" w:rsidRDefault="00032A5B" w:rsidP="00032A5B">
      <w:pPr>
        <w:ind w:left="720"/>
        <w:jc w:val="both"/>
      </w:pPr>
      <w:r>
        <w:t xml:space="preserve">   "(2) Contacts to be taken into account in applying the principles of § 6 to determine the law applicable to an issue include:  </w:t>
      </w:r>
    </w:p>
    <w:p w:rsidR="00032A5B" w:rsidRDefault="00032A5B" w:rsidP="00032A5B">
      <w:pPr>
        <w:ind w:left="720"/>
        <w:jc w:val="both"/>
      </w:pPr>
    </w:p>
    <w:p w:rsidR="00032A5B" w:rsidRDefault="00032A5B" w:rsidP="00032A5B">
      <w:pPr>
        <w:ind w:left="720"/>
        <w:jc w:val="both"/>
      </w:pPr>
      <w:r>
        <w:t xml:space="preserve">   "(a) the place where the injury occurred,  </w:t>
      </w:r>
    </w:p>
    <w:p w:rsidR="00032A5B" w:rsidRDefault="00032A5B" w:rsidP="00032A5B">
      <w:pPr>
        <w:ind w:left="720"/>
        <w:jc w:val="both"/>
      </w:pPr>
      <w:r>
        <w:t xml:space="preserve">   "(b) the place where the conduct causing the injury occurred,  </w:t>
      </w:r>
    </w:p>
    <w:p w:rsidR="00032A5B" w:rsidRDefault="00032A5B" w:rsidP="00032A5B">
      <w:pPr>
        <w:ind w:left="720"/>
        <w:jc w:val="both"/>
      </w:pPr>
      <w:r>
        <w:t xml:space="preserve">   "(c) the domicil, residence, nationality, place of incorporation and place of business of the parties, and  </w:t>
      </w:r>
    </w:p>
    <w:p w:rsidR="00032A5B" w:rsidRDefault="00032A5B" w:rsidP="00032A5B">
      <w:pPr>
        <w:ind w:left="720"/>
        <w:jc w:val="both"/>
      </w:pPr>
      <w:r>
        <w:t xml:space="preserve">   "(d) the place where the relationship, if any, between the parties is centered.  "These contacts are to be evaluated according to their relative importance with respect to the particular issue."</w:t>
      </w:r>
    </w:p>
    <w:p w:rsidR="00032A5B" w:rsidRDefault="00032A5B" w:rsidP="00032A5B">
      <w:pPr>
        <w:jc w:val="both"/>
      </w:pPr>
      <w:r>
        <w:t xml:space="preserve">  </w:t>
      </w:r>
    </w:p>
    <w:p w:rsidR="00032A5B" w:rsidRDefault="00032A5B" w:rsidP="00032A5B">
      <w:pPr>
        <w:ind w:left="720"/>
        <w:jc w:val="both"/>
      </w:pPr>
      <w:r>
        <w:t xml:space="preserve">  </w:t>
      </w:r>
    </w:p>
    <w:p w:rsidR="00032A5B" w:rsidRDefault="00032A5B" w:rsidP="00032A5B">
      <w:pPr>
        <w:jc w:val="both"/>
      </w:pPr>
      <w:r>
        <w:t xml:space="preserve"> . . . .  As § 145(1) makes clear, our task is to determine which state has the "most significant relationship" to the parties and the issues in question.  Of the four contacts specified in § 145(2), two obviously attach to </w:t>
      </w:r>
      <w:smartTag w:uri="urn:schemas-microsoft-com:office:smarttags" w:element="place">
        <w:smartTag w:uri="urn:schemas-microsoft-com:office:smarttags" w:element="country-region">
          <w:r>
            <w:t>Mexico</w:t>
          </w:r>
        </w:smartTag>
      </w:smartTag>
      <w:r>
        <w:t xml:space="preserve"> — the place of Wendelken's injury and the place of Sherrill's alleged negligence.  However, the other two contacts attach to Arizona — both Wendelken and Sherrill are domiciled in Arizona, both are residents of Arizona, both are American nationals, Sherrill advertised this weekend party in Arizona via an Arizona organization of which both Sherrill and  Wendelken are members, the solicitation reached Wendelken in Arizona, and the reservation was accepted in Arizona.  Only the destination involved was </w:t>
      </w:r>
      <w:smartTag w:uri="urn:schemas-microsoft-com:office:smarttags" w:element="place">
        <w:smartTag w:uri="urn:schemas-microsoft-com:office:smarttags" w:element="country-region">
          <w:r>
            <w:t>Mexico</w:t>
          </w:r>
        </w:smartTag>
      </w:smartTag>
      <w:r>
        <w:t xml:space="preserve">. The "relationship between the parties" centered in </w:t>
      </w:r>
      <w:smartTag w:uri="urn:schemas-microsoft-com:office:smarttags" w:element="place">
        <w:smartTag w:uri="urn:schemas-microsoft-com:office:smarttags" w:element="State">
          <w:r>
            <w:t>Arizona</w:t>
          </w:r>
        </w:smartTag>
      </w:smartTag>
      <w:r>
        <w:t xml:space="preserve">.  As we have made clear, "the determination of which state has the most significant contacts is primarily qualitative, not quantitative." </w:t>
      </w:r>
      <w:r>
        <w:rPr>
          <w:i/>
        </w:rPr>
        <w:t>Schwartz, at 257.</w:t>
      </w:r>
      <w:r>
        <w:t xml:space="preserve">  Having established the numerical distribution of the important contacts, we now must evaluate those contacts to determine which law should apply. . . . . </w:t>
      </w:r>
    </w:p>
    <w:p w:rsidR="00032A5B" w:rsidRDefault="00032A5B" w:rsidP="00032A5B">
      <w:pPr>
        <w:jc w:val="both"/>
      </w:pPr>
    </w:p>
    <w:p w:rsidR="00032A5B" w:rsidRDefault="00032A5B" w:rsidP="00032A5B">
      <w:pPr>
        <w:jc w:val="both"/>
      </w:pPr>
      <w:r>
        <w:t xml:space="preserve">Our choice of law in this matter should have little effect on the harmonious relationship or on the commercial interaction between </w:t>
      </w:r>
      <w:smartTag w:uri="urn:schemas-microsoft-com:office:smarttags" w:element="State">
        <w:r>
          <w:t>Arizona</w:t>
        </w:r>
      </w:smartTag>
      <w:r>
        <w:t xml:space="preserve"> and </w:t>
      </w:r>
      <w:smartTag w:uri="urn:schemas-microsoft-com:office:smarttags" w:element="place">
        <w:smartTag w:uri="urn:schemas-microsoft-com:office:smarttags" w:element="country-region">
          <w:r>
            <w:t>Mexico</w:t>
          </w:r>
        </w:smartTag>
      </w:smartTag>
      <w:r>
        <w:t xml:space="preserve">.  This was a purely private relationship between two </w:t>
      </w:r>
      <w:smartTag w:uri="urn:schemas-microsoft-com:office:smarttags" w:element="place">
        <w:smartTag w:uri="urn:schemas-microsoft-com:office:smarttags" w:element="State">
          <w:r>
            <w:t>Arizona</w:t>
          </w:r>
        </w:smartTag>
      </w:smartTag>
      <w:r>
        <w:t xml:space="preserve"> residents.  Neither public accommodation nor public transportation facilities was utilized.  Had this trip been sponsored by the Mexican government instead of by a private American citizen or had the accident occurred at a Mexican hotel instead of at a private home, Mexican tourism might have been affected.  In either event, this element would take on a greater weight in the choice of law decision.  Those facts, however, are not before us.  </w:t>
      </w:r>
    </w:p>
    <w:p w:rsidR="00032A5B" w:rsidRDefault="00032A5B" w:rsidP="00032A5B">
      <w:pPr>
        <w:jc w:val="both"/>
      </w:pPr>
    </w:p>
    <w:p w:rsidR="00032A5B" w:rsidRDefault="00032A5B" w:rsidP="00032A5B">
      <w:pPr>
        <w:jc w:val="both"/>
      </w:pPr>
      <w:smartTag w:uri="urn:schemas-microsoft-com:office:smarttags" w:element="place">
        <w:smartTag w:uri="urn:schemas-microsoft-com:office:smarttags" w:element="State">
          <w:r>
            <w:t>Arizona</w:t>
          </w:r>
        </w:smartTag>
      </w:smartTag>
      <w:r>
        <w:t xml:space="preserve">, in addition to being the forum state and the place of the trial, has considerable interest in this matter.  Both parties are domiciliaries of </w:t>
      </w:r>
      <w:smartTag w:uri="urn:schemas-microsoft-com:office:smarttags" w:element="place">
        <w:smartTag w:uri="urn:schemas-microsoft-com:office:smarttags" w:element="State">
          <w:r>
            <w:t>Arizona</w:t>
          </w:r>
        </w:smartTag>
      </w:smartTag>
      <w:r>
        <w:t xml:space="preserve"> giving this state a natural interest in each of them.  One aspect of that interest is the appropriate compensation of Wendelken for his losses.  Striving insofar as possible to make the injured party whole, Arizona allows unlimited recovery for actual damages, expenses for past and prospective medical care, past and prospective pain and suffering, lost earnings, and diminished earning capacity.  This is in sharp contrast to the compensatory scheme of </w:t>
      </w:r>
      <w:smartTag w:uri="urn:schemas-microsoft-com:office:smarttags" w:element="place">
        <w:smartTag w:uri="urn:schemas-microsoft-com:office:smarttags" w:element="country-region">
          <w:r>
            <w:t>Mexico</w:t>
          </w:r>
        </w:smartTag>
      </w:smartTag>
      <w:r>
        <w:t>.  The parties have supplied this Court with a translation of Article 1915 of the Civil Code of Mexico.  According to that translation, not only are damages resulting from  personal injury recoverable only to the extent allowed by a quota system included in the Mexican Federal Labor Law, but the maximum wage that can be taken into account in this determination is twenty-five pesos per day.  [On the date of Wendelken's accident, twenty-five pesos equaled $1.0975. At current exchange rates, the value is only $0.1675.]</w:t>
      </w:r>
    </w:p>
    <w:p w:rsidR="00032A5B" w:rsidRDefault="00032A5B" w:rsidP="00032A5B">
      <w:pPr>
        <w:ind w:left="300"/>
        <w:jc w:val="both"/>
      </w:pPr>
      <w:r>
        <w:t xml:space="preserve">  </w:t>
      </w:r>
    </w:p>
    <w:p w:rsidR="00032A5B" w:rsidRDefault="00032A5B" w:rsidP="00032A5B">
      <w:pPr>
        <w:jc w:val="both"/>
      </w:pPr>
      <w:r>
        <w:t xml:space="preserve">As both Wendelken and Sherrill are </w:t>
      </w:r>
      <w:smartTag w:uri="urn:schemas-microsoft-com:office:smarttags" w:element="State">
        <w:r>
          <w:t>Arizona</w:t>
        </w:r>
      </w:smartTag>
      <w:r>
        <w:t xml:space="preserve"> residents, there is little reason to apply </w:t>
      </w:r>
      <w:smartTag w:uri="urn:schemas-microsoft-com:office:smarttags" w:element="place">
        <w:smartTag w:uri="urn:schemas-microsoft-com:office:smarttags" w:element="country-region">
          <w:r>
            <w:t>Mexico</w:t>
          </w:r>
        </w:smartTag>
      </w:smartTag>
      <w:r>
        <w:t xml:space="preserve">'s measure of damages and undercompensate Wendelken for his losses. . . .  The measure of Wendelken's damage recovery for his injuries is of interest to this state not only because he is a domiciliary, but also because appropriate compensation helps guarantee payment to his </w:t>
      </w:r>
      <w:smartTag w:uri="urn:schemas-microsoft-com:office:smarttags" w:element="State">
        <w:r>
          <w:t>Arizona</w:t>
        </w:r>
      </w:smartTag>
      <w:r>
        <w:t xml:space="preserve"> medical providers and because, if other resources are not available, the burden for caring for his injuries will fall upon the State of </w:t>
      </w:r>
      <w:smartTag w:uri="urn:schemas-microsoft-com:office:smarttags" w:element="place">
        <w:smartTag w:uri="urn:schemas-microsoft-com:office:smarttags" w:element="State">
          <w:r>
            <w:t>Arizona</w:t>
          </w:r>
        </w:smartTag>
      </w:smartTag>
      <w:r>
        <w:t>.</w:t>
      </w:r>
    </w:p>
    <w:p w:rsidR="00032A5B" w:rsidRDefault="00032A5B" w:rsidP="00032A5B">
      <w:pPr>
        <w:jc w:val="both"/>
      </w:pPr>
    </w:p>
    <w:p w:rsidR="00032A5B" w:rsidRDefault="00032A5B" w:rsidP="00032A5B">
      <w:pPr>
        <w:jc w:val="both"/>
      </w:pPr>
      <w:smartTag w:uri="urn:schemas-microsoft-com:office:smarttags" w:element="place">
        <w:smartTag w:uri="urn:schemas-microsoft-com:office:smarttags" w:element="country-region">
          <w:r>
            <w:lastRenderedPageBreak/>
            <w:t>Mexico</w:t>
          </w:r>
        </w:smartTag>
      </w:smartTag>
      <w:r>
        <w:t xml:space="preserve"> also has an interest in the duties and the extent of the liability imposed upon Sherrill.  This interest is based on Sherrill's possessory interest in Mexican land.  The policy of limited liability just explained is apparently designed to shield Mexican citizens from large judgments and is undoubtedly linked to </w:t>
      </w:r>
      <w:smartTag w:uri="urn:schemas-microsoft-com:office:smarttags" w:element="place">
        <w:smartTag w:uri="urn:schemas-microsoft-com:office:smarttags" w:element="country-region">
          <w:r>
            <w:t>Mexico</w:t>
          </w:r>
        </w:smartTag>
      </w:smartTag>
      <w:r>
        <w:t xml:space="preserve">'s socialized system of health care.  As an injured Mexican's health care costs would be paid for, the Civil Code limits damages to reimbursement, by the above-mentioned quota system, of his lost wages.  As neither Wendelken nor Sherrill is a Mexican citizen or a Mexican wage-earner, </w:t>
      </w:r>
      <w:smartTag w:uri="urn:schemas-microsoft-com:office:smarttags" w:element="country-region">
        <w:r>
          <w:t>Mexico</w:t>
        </w:r>
      </w:smartTag>
      <w:r>
        <w:t xml:space="preserve">'s interest does not overcome that of </w:t>
      </w:r>
      <w:smartTag w:uri="urn:schemas-microsoft-com:office:smarttags" w:element="place">
        <w:smartTag w:uri="urn:schemas-microsoft-com:office:smarttags" w:element="State">
          <w:r>
            <w:t>Arizona</w:t>
          </w:r>
        </w:smartTag>
      </w:smartTag>
      <w:r>
        <w:t>.</w:t>
      </w:r>
    </w:p>
    <w:p w:rsidR="00032A5B" w:rsidRDefault="00032A5B" w:rsidP="00032A5B">
      <w:pPr>
        <w:jc w:val="both"/>
      </w:pPr>
    </w:p>
    <w:p w:rsidR="00032A5B" w:rsidRDefault="00032A5B" w:rsidP="00032A5B">
      <w:pPr>
        <w:jc w:val="both"/>
      </w:pPr>
      <w:r>
        <w:t xml:space="preserve">Respondent Sherrill seeks to distinguish this case from automobile accident cases involving forum state plaintiffs and forum state defendants but an out-of-state accident.  In those cases, because mere fortuity determines the place of the injury, the forum state law is generally applied.  Sherrill argues that this injury and the alleged negligence that caused it could only have occurred in </w:t>
      </w:r>
      <w:smartTag w:uri="urn:schemas-microsoft-com:office:smarttags" w:element="country-region">
        <w:r>
          <w:t>Mexico</w:t>
        </w:r>
      </w:smartTag>
      <w:r>
        <w:t xml:space="preserve"> and asserts that </w:t>
      </w:r>
      <w:smartTag w:uri="urn:schemas-microsoft-com:office:smarttags" w:element="place">
        <w:smartTag w:uri="urn:schemas-microsoft-com:office:smarttags" w:element="country-region">
          <w:r>
            <w:t>Mexico</w:t>
          </w:r>
        </w:smartTag>
      </w:smartTag>
      <w:r>
        <w:t xml:space="preserve">'s interest in establishing duties and liabilities of possessors of Mexican land should be the decisive consideration in our choice of law determination.  This would signal a return to the doctrine of lex loci delicti in those cases where the duties of owners and occupiers of land are at issue.  We refuse to return to lex loci for these cases. . . . </w:t>
      </w:r>
    </w:p>
    <w:p w:rsidR="00032A5B" w:rsidRDefault="00032A5B" w:rsidP="00032A5B">
      <w:pPr>
        <w:jc w:val="both"/>
      </w:pPr>
      <w:r>
        <w:t xml:space="preserve"> </w:t>
      </w:r>
    </w:p>
    <w:p w:rsidR="00032A5B" w:rsidRDefault="00032A5B" w:rsidP="00032A5B">
      <w:pPr>
        <w:pStyle w:val="BodyText2"/>
      </w:pPr>
      <w:r>
        <w:t xml:space="preserve">As neither party anticipated a negligent act, it is likely that neither acted with any thought to the consequences of his conduct or to the law that might be applied to any dispute resolution.  However, Sherrill can not claim that the imposition of </w:t>
      </w:r>
      <w:smartTag w:uri="urn:schemas-microsoft-com:office:smarttags" w:element="place">
        <w:smartTag w:uri="urn:schemas-microsoft-com:office:smarttags" w:element="State">
          <w:r>
            <w:t>Arizona</w:t>
          </w:r>
        </w:smartTag>
      </w:smartTag>
      <w:r>
        <w:t xml:space="preserve"> negligence or damage standards is an unfair surprise.  He has offered no indication that he relied in any way on the Mexican limited liability scheme.  Rather, he concedes that he purchased liability insurance on his Puerto Penasco property through an </w:t>
      </w:r>
      <w:smartTag w:uri="urn:schemas-microsoft-com:office:smarttags" w:element="State">
        <w:r>
          <w:t>Arizona</w:t>
        </w:r>
      </w:smartTag>
      <w:r>
        <w:t xml:space="preserve"> insurance carrier in the amount of $300,000.00, and obviously relied on the expectation that this </w:t>
      </w:r>
      <w:smartTag w:uri="urn:schemas-microsoft-com:office:smarttags" w:element="place">
        <w:smartTag w:uri="urn:schemas-microsoft-com:office:smarttags" w:element="State">
          <w:r>
            <w:t>Arizona</w:t>
          </w:r>
        </w:smartTag>
      </w:smartTag>
      <w:r>
        <w:t xml:space="preserve"> insurance would cover any liability resulting from his interest in the Mexican land. . . . .  Finally, Mexican laws, though in Spanish, could certainly be presented by counsel to the finder of fact in such a way that its application would be no more difficult than the application of </w:t>
      </w:r>
      <w:smartTag w:uri="urn:schemas-microsoft-com:office:smarttags" w:element="place">
        <w:smartTag w:uri="urn:schemas-microsoft-com:office:smarttags" w:element="State">
          <w:r>
            <w:t>Arizona</w:t>
          </w:r>
        </w:smartTag>
      </w:smartTag>
      <w:r>
        <w:t xml:space="preserve"> law.</w:t>
      </w:r>
    </w:p>
    <w:p w:rsidR="00032A5B" w:rsidRDefault="00032A5B" w:rsidP="00032A5B">
      <w:pPr>
        <w:jc w:val="both"/>
      </w:pPr>
    </w:p>
    <w:p w:rsidR="00032A5B" w:rsidRDefault="00032A5B" w:rsidP="00032A5B">
      <w:pPr>
        <w:jc w:val="both"/>
      </w:pPr>
      <w:r>
        <w:t xml:space="preserve">Having fully considered the relevant factors and the interests of both states, we conclude that </w:t>
      </w:r>
      <w:smartTag w:uri="urn:schemas-microsoft-com:office:smarttags" w:element="place">
        <w:smartTag w:uri="urn:schemas-microsoft-com:office:smarttags" w:element="State">
          <w:r>
            <w:t>Arizona</w:t>
          </w:r>
        </w:smartTag>
      </w:smartTag>
      <w:r>
        <w:t xml:space="preserve"> has the most significant relationship to this occurrence and to these parties.  As this state borders the state of </w:t>
      </w:r>
      <w:smartTag w:uri="urn:schemas-microsoft-com:office:smarttags" w:element="place">
        <w:smartTag w:uri="urn:schemas-microsoft-com:office:smarttags" w:element="City">
          <w:r>
            <w:t>Sonora</w:t>
          </w:r>
        </w:smartTag>
        <w:r>
          <w:t xml:space="preserve">, </w:t>
        </w:r>
        <w:smartTag w:uri="urn:schemas-microsoft-com:office:smarttags" w:element="country-region">
          <w:r>
            <w:t>Mexico</w:t>
          </w:r>
        </w:smartTag>
      </w:smartTag>
      <w:r>
        <w:t xml:space="preserve">, our citizens are frequent visitors there and this issue will undoubtedly arise again.  Our decision does not affect the sovereignty of the State of </w:t>
      </w:r>
      <w:smartTag w:uri="urn:schemas-microsoft-com:office:smarttags" w:element="place">
        <w:smartTag w:uri="urn:schemas-microsoft-com:office:smarttags" w:element="State">
          <w:r>
            <w:t>Sonora</w:t>
          </w:r>
        </w:smartTag>
      </w:smartTag>
      <w:r>
        <w:t xml:space="preserve"> nor the Country of Mexico, but does protect our own citizens.  We therefore vacate the trial court's ruling which granted Sherrill's Motion for Partial Summary Judgment and ordered that Mexican law would apply to all substantive issues and remand to the Superior Court for further proceeding.</w:t>
      </w:r>
    </w:p>
    <w:p w:rsidR="00032A5B" w:rsidRDefault="00032A5B" w:rsidP="00032A5B">
      <w:pPr>
        <w:pStyle w:val="PlainText"/>
        <w:jc w:val="both"/>
      </w:pPr>
    </w:p>
    <w:p w:rsidR="00032A5B" w:rsidRDefault="00032A5B" w:rsidP="00032A5B">
      <w:pPr>
        <w:pStyle w:val="PlainText"/>
        <w:jc w:val="center"/>
        <w:rPr>
          <w:sz w:val="24"/>
        </w:rPr>
      </w:pPr>
    </w:p>
    <w:p w:rsidR="00032A5B" w:rsidRDefault="00032A5B" w:rsidP="00032A5B">
      <w:pPr>
        <w:jc w:val="center"/>
      </w:pPr>
      <w:r>
        <w:br w:type="page"/>
      </w:r>
      <w:r>
        <w:lastRenderedPageBreak/>
        <w:t xml:space="preserve">FRANK J. FERLITO and SUSAN FERLITO, Plaintiffs, </w:t>
      </w:r>
    </w:p>
    <w:p w:rsidR="00032A5B" w:rsidRDefault="00032A5B" w:rsidP="00032A5B">
      <w:pPr>
        <w:jc w:val="center"/>
      </w:pPr>
      <w:r>
        <w:t>v.</w:t>
      </w:r>
    </w:p>
    <w:p w:rsidR="00032A5B" w:rsidRDefault="00032A5B" w:rsidP="00032A5B">
      <w:pPr>
        <w:jc w:val="center"/>
      </w:pPr>
      <w:r>
        <w:t xml:space="preserve">JOHNSON &amp; JOHNSON PRODUCTS, INC., a </w:t>
      </w:r>
      <w:smartTag w:uri="urn:schemas-microsoft-com:office:smarttags" w:element="place">
        <w:smartTag w:uri="urn:schemas-microsoft-com:office:smarttags" w:element="State">
          <w:r>
            <w:t>New Jersey</w:t>
          </w:r>
        </w:smartTag>
      </w:smartTag>
      <w:r>
        <w:t xml:space="preserve"> corporation, Defendant</w:t>
      </w:r>
    </w:p>
    <w:p w:rsidR="00032A5B" w:rsidRDefault="00032A5B" w:rsidP="00032A5B">
      <w:pPr>
        <w:jc w:val="center"/>
      </w:pPr>
    </w:p>
    <w:p w:rsidR="00032A5B" w:rsidRDefault="00032A5B" w:rsidP="00032A5B">
      <w:pPr>
        <w:jc w:val="center"/>
      </w:pPr>
      <w:smartTag w:uri="urn:schemas-microsoft-com:office:smarttags" w:element="place">
        <w:smartTag w:uri="urn:schemas-microsoft-com:office:smarttags" w:element="country-region">
          <w:r>
            <w:t>United States</w:t>
          </w:r>
        </w:smartTag>
      </w:smartTag>
      <w:r>
        <w:t xml:space="preserve"> District Court for the Eastern District Of Michigan, Southern Division</w:t>
      </w:r>
    </w:p>
    <w:p w:rsidR="00032A5B" w:rsidRDefault="00032A5B" w:rsidP="00032A5B">
      <w:pPr>
        <w:jc w:val="center"/>
      </w:pPr>
    </w:p>
    <w:p w:rsidR="00032A5B" w:rsidRDefault="00032A5B" w:rsidP="00032A5B">
      <w:pPr>
        <w:jc w:val="center"/>
      </w:pPr>
      <w:r>
        <w:t>771 F. Supp. 196</w:t>
      </w:r>
    </w:p>
    <w:p w:rsidR="00032A5B" w:rsidRDefault="00032A5B" w:rsidP="00032A5B">
      <w:pPr>
        <w:jc w:val="center"/>
      </w:pPr>
      <w:r>
        <w:t>(</w:t>
      </w:r>
      <w:smartTag w:uri="urn:schemas-microsoft-com:office:smarttags" w:element="date">
        <w:smartTagPr>
          <w:attr w:name="Month" w:val="8"/>
          <w:attr w:name="Day" w:val="22"/>
          <w:attr w:name="Year" w:val="1991"/>
        </w:smartTagPr>
        <w:r>
          <w:t>August 22, 1991</w:t>
        </w:r>
      </w:smartTag>
      <w:r>
        <w:t>)</w:t>
      </w:r>
    </w:p>
    <w:p w:rsidR="00032A5B" w:rsidRDefault="00032A5B" w:rsidP="00032A5B"/>
    <w:p w:rsidR="00032A5B" w:rsidRDefault="00032A5B" w:rsidP="00032A5B"/>
    <w:p w:rsidR="00032A5B" w:rsidRDefault="00032A5B" w:rsidP="00032A5B">
      <w:pPr>
        <w:jc w:val="both"/>
      </w:pPr>
      <w:r>
        <w:t xml:space="preserve">JUDGE: Paul V. Gadola, United States District Judge. </w:t>
      </w:r>
    </w:p>
    <w:p w:rsidR="00032A5B" w:rsidRDefault="00032A5B" w:rsidP="00032A5B">
      <w:pPr>
        <w:jc w:val="both"/>
      </w:pPr>
    </w:p>
    <w:p w:rsidR="00032A5B" w:rsidRDefault="00032A5B" w:rsidP="00032A5B">
      <w:pPr>
        <w:jc w:val="both"/>
      </w:pPr>
      <w:r>
        <w:t xml:space="preserve">Plaintiffs Susan and Frank Ferlito, husband and wife, attended a Halloween party in 1984 dressed as Mary (Mrs. Ferlito) and her little lamb (Mr. Ferlito). Mrs. Ferlito had constructed a lamb costume for her husband by gluing cotton batting manufactured by defendant Johnson &amp; Johnson Products ("JJP") to a suit of long underwear. She had also used defendant's product to fashion a headpiece, complete with ears. The costume covered Mr. Ferlito from his head to his ankles, except for his face and hands, which were blackened with Halloween paint. At the party Mr. Ferlito attempted to light his cigarette by using a butane lighter. The flame passed close to his left arm, and the cotton batting on his left sleeve ignited. Plaintiffs sued defendant for injuries they suffered from burns which covered approximately one-third of Mr. Ferlito's body. </w:t>
      </w:r>
    </w:p>
    <w:p w:rsidR="00032A5B" w:rsidRDefault="00032A5B" w:rsidP="00032A5B">
      <w:pPr>
        <w:jc w:val="both"/>
      </w:pPr>
    </w:p>
    <w:p w:rsidR="00032A5B" w:rsidRDefault="00032A5B" w:rsidP="00032A5B">
      <w:pPr>
        <w:jc w:val="both"/>
      </w:pPr>
      <w:r>
        <w:t xml:space="preserve">Following a jury verdict entered for plaintiffs </w:t>
      </w:r>
      <w:smartTag w:uri="urn:schemas-microsoft-com:office:smarttags" w:element="date">
        <w:smartTagPr>
          <w:attr w:name="ls" w:val="trans"/>
          <w:attr w:name="Month" w:val="11"/>
          <w:attr w:name="Day" w:val="2"/>
          <w:attr w:name="Year" w:val="1989"/>
        </w:smartTagPr>
        <w:r>
          <w:t>November 2, 1989</w:t>
        </w:r>
      </w:smartTag>
      <w:r>
        <w:t xml:space="preserve">, the Honorable Ralph M. Freeman entered a judgment for plaintiff Frank Ferlito in the amount of $555,000 and for plaintiff Susan Ferlito in the amount of $70,000.  Judgment was entered </w:t>
      </w:r>
      <w:smartTag w:uri="urn:schemas-microsoft-com:office:smarttags" w:element="date">
        <w:smartTagPr>
          <w:attr w:name="Month" w:val="11"/>
          <w:attr w:name="Day" w:val="7"/>
          <w:attr w:name="Year" w:val="1989"/>
        </w:smartTagPr>
        <w:r>
          <w:t>November 7, 1989</w:t>
        </w:r>
      </w:smartTag>
      <w:r>
        <w:t xml:space="preserve">. </w:t>
      </w:r>
    </w:p>
    <w:p w:rsidR="00032A5B" w:rsidRDefault="00032A5B" w:rsidP="00032A5B">
      <w:pPr>
        <w:jc w:val="both"/>
      </w:pPr>
    </w:p>
    <w:p w:rsidR="00032A5B" w:rsidRDefault="00032A5B" w:rsidP="00032A5B">
      <w:pPr>
        <w:jc w:val="both"/>
      </w:pPr>
      <w:r>
        <w:t xml:space="preserve">Subsequently, on </w:t>
      </w:r>
      <w:smartTag w:uri="urn:schemas-microsoft-com:office:smarttags" w:element="date">
        <w:smartTagPr>
          <w:attr w:name="Year" w:val="1989"/>
          <w:attr w:name="Day" w:val="16"/>
          <w:attr w:name="Month" w:val="11"/>
          <w:attr w:name="ls" w:val="trans"/>
        </w:smartTagPr>
        <w:r>
          <w:t>November 16, 1989</w:t>
        </w:r>
      </w:smartTag>
      <w:r>
        <w:t xml:space="preserve">, defendant JJP filed a timely motion for judgment notwithstanding the verdict pursuant to Fed.R.Civ.P. 50(b) or, in the alternative, for new trial. Plaintiffs filed their response to defendant's motion </w:t>
      </w:r>
      <w:smartTag w:uri="urn:schemas-microsoft-com:office:smarttags" w:element="date">
        <w:smartTagPr>
          <w:attr w:name="Year" w:val="1989"/>
          <w:attr w:name="Day" w:val="18"/>
          <w:attr w:name="Month" w:val="12"/>
          <w:attr w:name="ls" w:val="trans"/>
        </w:smartTagPr>
        <w:r>
          <w:t>December 18, 1989</w:t>
        </w:r>
      </w:smartTag>
      <w:r>
        <w:t xml:space="preserve">; and defendant filed a reply </w:t>
      </w:r>
      <w:smartTag w:uri="urn:schemas-microsoft-com:office:smarttags" w:element="date">
        <w:smartTagPr>
          <w:attr w:name="Year" w:val="1990"/>
          <w:attr w:name="Day" w:val="4"/>
          <w:attr w:name="Month" w:val="1"/>
          <w:attr w:name="ls" w:val="trans"/>
        </w:smartTagPr>
        <w:r>
          <w:t>January 4, 1990</w:t>
        </w:r>
      </w:smartTag>
      <w:r>
        <w:t xml:space="preserve">. . . . </w:t>
      </w:r>
    </w:p>
    <w:p w:rsidR="00032A5B" w:rsidRDefault="00032A5B" w:rsidP="00032A5B">
      <w:pPr>
        <w:jc w:val="both"/>
      </w:pPr>
    </w:p>
    <w:p w:rsidR="00032A5B" w:rsidRDefault="00032A5B" w:rsidP="00032A5B">
      <w:pPr>
        <w:jc w:val="both"/>
      </w:pPr>
    </w:p>
    <w:p w:rsidR="00032A5B" w:rsidRDefault="00032A5B" w:rsidP="00032A5B">
      <w:pPr>
        <w:jc w:val="both"/>
      </w:pPr>
      <w:r>
        <w:t xml:space="preserve"> MOTION FOR JUDGMENT NOTWITHSTANDING THE VERDICT </w:t>
      </w:r>
    </w:p>
    <w:p w:rsidR="00032A5B" w:rsidRDefault="00032A5B" w:rsidP="00032A5B">
      <w:pPr>
        <w:jc w:val="both"/>
      </w:pPr>
    </w:p>
    <w:p w:rsidR="00032A5B" w:rsidRDefault="00032A5B" w:rsidP="00032A5B">
      <w:pPr>
        <w:jc w:val="both"/>
      </w:pPr>
      <w:r>
        <w:t>Issuance of a judgment notwithstanding the verdict ("j.n.o.v.") is authorized by Rule 50(b) of the Federal Rules of Civil Procedure. . . .Rule 50(b) Fed.R.Civ.P.</w:t>
      </w:r>
    </w:p>
    <w:p w:rsidR="00032A5B" w:rsidRDefault="00032A5B" w:rsidP="00032A5B">
      <w:pPr>
        <w:jc w:val="both"/>
      </w:pPr>
    </w:p>
    <w:p w:rsidR="00032A5B" w:rsidRDefault="00032A5B" w:rsidP="00032A5B">
      <w:pPr>
        <w:jc w:val="both"/>
      </w:pPr>
      <w:r>
        <w:t xml:space="preserve">Defendant JJP filed two motions for a directed verdict, the first on </w:t>
      </w:r>
      <w:smartTag w:uri="urn:schemas-microsoft-com:office:smarttags" w:element="date">
        <w:smartTagPr>
          <w:attr w:name="Year" w:val="1989"/>
          <w:attr w:name="Day" w:val="27"/>
          <w:attr w:name="Month" w:val="10"/>
          <w:attr w:name="ls" w:val="trans"/>
        </w:smartTagPr>
        <w:r>
          <w:t>October 27, 1989</w:t>
        </w:r>
      </w:smartTag>
      <w:r>
        <w:t xml:space="preserve">, at the close of plaintiffs' proofs, and the second on </w:t>
      </w:r>
      <w:smartTag w:uri="urn:schemas-microsoft-com:office:smarttags" w:element="date">
        <w:smartTagPr>
          <w:attr w:name="Year" w:val="1989"/>
          <w:attr w:name="Day" w:val="30"/>
          <w:attr w:name="Month" w:val="10"/>
          <w:attr w:name="ls" w:val="trans"/>
        </w:smartTagPr>
        <w:r>
          <w:t>October 30, 1989</w:t>
        </w:r>
      </w:smartTag>
      <w:r>
        <w:t xml:space="preserve">, at the close of defendant's proofs. Judge Freeman denied both motions without prejudice. Judgment for plaintiffs was entered </w:t>
      </w:r>
      <w:smartTag w:uri="urn:schemas-microsoft-com:office:smarttags" w:element="date">
        <w:smartTagPr>
          <w:attr w:name="Year" w:val="1989"/>
          <w:attr w:name="Day" w:val="7"/>
          <w:attr w:name="Month" w:val="11"/>
          <w:attr w:name="ls" w:val="trans"/>
        </w:smartTagPr>
        <w:r>
          <w:t>November 7, 1989</w:t>
        </w:r>
      </w:smartTag>
      <w:r>
        <w:t xml:space="preserve">; and defendant's instant motion, filed </w:t>
      </w:r>
      <w:smartTag w:uri="urn:schemas-microsoft-com:office:smarttags" w:element="date">
        <w:smartTagPr>
          <w:attr w:name="Year" w:val="1989"/>
          <w:attr w:name="Day" w:val="16"/>
          <w:attr w:name="Month" w:val="11"/>
          <w:attr w:name="ls" w:val="trans"/>
        </w:smartTagPr>
        <w:r>
          <w:t>November 16, 1989</w:t>
        </w:r>
      </w:smartTag>
      <w:r>
        <w:t>, was filed in a timely manner.</w:t>
      </w:r>
    </w:p>
    <w:p w:rsidR="00032A5B" w:rsidRDefault="00032A5B" w:rsidP="00032A5B">
      <w:pPr>
        <w:jc w:val="both"/>
      </w:pPr>
    </w:p>
    <w:p w:rsidR="00032A5B" w:rsidRDefault="00032A5B" w:rsidP="00032A5B">
      <w:pPr>
        <w:jc w:val="both"/>
      </w:pPr>
      <w:r>
        <w:t xml:space="preserve">The standard for determining whether to grant a j.n.o.v. is identical to the standard for evaluating a motion for directed verdict:  </w:t>
      </w:r>
    </w:p>
    <w:p w:rsidR="00032A5B" w:rsidRDefault="00032A5B" w:rsidP="00032A5B">
      <w:pPr>
        <w:ind w:left="720"/>
        <w:jc w:val="both"/>
      </w:pPr>
      <w:r>
        <w:t>In determining whether the evidence is sufficient, the trial court may neither weigh the evidence, pass on the credibility of witnesses nor substitute its judgment for that of the jury. Rather, the evidence must be viewed in the light most favorable to the party against whom the motion is made, drawing from that evidence all reasonable inferences in his favor.</w:t>
      </w:r>
    </w:p>
    <w:p w:rsidR="00032A5B" w:rsidRDefault="00032A5B" w:rsidP="00032A5B">
      <w:pPr>
        <w:jc w:val="both"/>
      </w:pPr>
    </w:p>
    <w:p w:rsidR="00032A5B" w:rsidRDefault="00032A5B" w:rsidP="00032A5B">
      <w:pPr>
        <w:jc w:val="both"/>
      </w:pPr>
      <w:r>
        <w:t xml:space="preserve">[cites omitted]. . . If after reviewing the evidence, however, the trial court is of the opinion that reasonable minds could not come to the result reached by the jury, then the motion for j.n.o.v. should be granted. . . . .  [cites omitted] The trial court makes its determination as a matter of law. . . . </w:t>
      </w:r>
    </w:p>
    <w:p w:rsidR="00032A5B" w:rsidRDefault="00032A5B" w:rsidP="00032A5B">
      <w:pPr>
        <w:jc w:val="both"/>
      </w:pPr>
    </w:p>
    <w:p w:rsidR="00032A5B" w:rsidRDefault="00032A5B" w:rsidP="00032A5B">
      <w:pPr>
        <w:jc w:val="both"/>
      </w:pPr>
      <w:r>
        <w:t>To recover in a "failure to warn" product liability action, a plaintiff must prove each of the following four elements of negligence: (1) that the defendant owed a duty to the plaintiff, (2) that the defendant violated that duty, (3) that the defendant's breach of that duty was a proximate cause of the damages suffered by the plaintiff, and (4) that the plaintiff suffered damages. . . . . [cites omitted]</w:t>
      </w:r>
    </w:p>
    <w:p w:rsidR="00032A5B" w:rsidRDefault="00032A5B" w:rsidP="00032A5B">
      <w:pPr>
        <w:jc w:val="both"/>
      </w:pPr>
    </w:p>
    <w:p w:rsidR="00032A5B" w:rsidRDefault="00032A5B" w:rsidP="00032A5B">
      <w:pPr>
        <w:jc w:val="both"/>
      </w:pPr>
      <w:r>
        <w:lastRenderedPageBreak/>
        <w:t xml:space="preserve">To establish a prima facie case that a manufacturer's breach of its duty to warn was a proximate cause of an injury sustained, a plaintiff must present evidence that the product would have been used differently had the proffered warnings been given. . . . [cites omitted]  In the absence of evidence that a warning would have prevented the harm complained of by altering the plaintiff's conduct, the failure to warn cannot be deemed a proximate cause of the plaintiff's injury as a matter of law. </w:t>
      </w:r>
    </w:p>
    <w:p w:rsidR="00032A5B" w:rsidRDefault="00032A5B" w:rsidP="00032A5B">
      <w:pPr>
        <w:jc w:val="both"/>
      </w:pPr>
    </w:p>
    <w:p w:rsidR="00032A5B" w:rsidRDefault="00032A5B" w:rsidP="00032A5B">
      <w:pPr>
        <w:jc w:val="both"/>
      </w:pPr>
      <w:r>
        <w:t>Similarly, a failure to warn cannot be deemed a proximate cause of injury if the plaintiff knew of the danger about which he claims the defendant failed to warn.  [cites omitted]</w:t>
      </w:r>
    </w:p>
    <w:p w:rsidR="00032A5B" w:rsidRDefault="00032A5B" w:rsidP="00032A5B">
      <w:pPr>
        <w:jc w:val="both"/>
      </w:pPr>
    </w:p>
    <w:p w:rsidR="00032A5B" w:rsidRDefault="00032A5B" w:rsidP="00032A5B">
      <w:pPr>
        <w:jc w:val="both"/>
      </w:pPr>
      <w:r>
        <w:t xml:space="preserve">A manufacturer has a duty "to warn the purchasers or users of its product about dangers associated with intended use." [cites omitted]  Conversely, a manufacturer has no duty to warn of a danger arising from an unforeseeable misuse of its product. [cites omitted]  Thus, whether a manufacturer has a duty to warn depends on whether the use of the product and the injury sustained by it are foreseeable.  [cites omitted]  Whether a plaintiff's use of a product is foreseeable is a legal question to be resolved by the court. Trotter, supra.  Whether the resulting injury is foreseeable is a question of fact for the jury. [cites omitted] </w:t>
      </w:r>
    </w:p>
    <w:p w:rsidR="00032A5B" w:rsidRDefault="00032A5B" w:rsidP="00032A5B">
      <w:pPr>
        <w:jc w:val="both"/>
      </w:pPr>
    </w:p>
    <w:p w:rsidR="00032A5B" w:rsidRDefault="00032A5B" w:rsidP="00032A5B">
      <w:pPr>
        <w:jc w:val="both"/>
      </w:pPr>
      <w:r>
        <w:t xml:space="preserve">In the instant action no reasonable jury could find that JJP's failure to warn of the flammability of cotton batting was a proximate cause of plaintiffs' injuries because plaintiffs failed to offer any evidence to establish that a flammability warning on JJP's cotton batting would have dissuaded them from using the product in the manner that they did. </w:t>
      </w:r>
    </w:p>
    <w:p w:rsidR="00032A5B" w:rsidRDefault="00032A5B" w:rsidP="00032A5B">
      <w:pPr>
        <w:jc w:val="both"/>
      </w:pPr>
    </w:p>
    <w:p w:rsidR="00032A5B" w:rsidRDefault="00032A5B" w:rsidP="00032A5B">
      <w:pPr>
        <w:jc w:val="both"/>
      </w:pPr>
      <w:r>
        <w:t xml:space="preserve">Plaintiffs repeatedly stated in their response brief that plaintiff Susan Ferlito testified that "she would never again use cotton batting to make a costume." Plaintiffs' Answer to Defendant JJP's Motion for J.N.O.V., pp. 1, 3, 4, 5. However, a review of the trial transcript reveals that plaintiff Susan Ferlito never testified that she would never again use cotton batting to make a costume. More importantly, the transcript contains no statement by plaintiff Susan Ferlito that a flammability warning on defendant JJP's product would have dissuaded her from using the cotton batting to construct the costume in the first place. At oral argument counsel for plaintiffs conceded that there was no testimony during the trial that either plaintiff Susan Ferlito or her husband, plaintiff Frank J. Ferlito, would have acted any different if there had been a flammability warning on the product's package. The absence of such testimony is fatal to plaintiffs' case; for without it, plaintiffs have failed to prove proximate cause, one of the essential elements of their negligence claim. </w:t>
      </w:r>
    </w:p>
    <w:p w:rsidR="00032A5B" w:rsidRDefault="00032A5B" w:rsidP="00032A5B">
      <w:pPr>
        <w:jc w:val="both"/>
      </w:pPr>
    </w:p>
    <w:p w:rsidR="00032A5B" w:rsidRDefault="00032A5B" w:rsidP="00032A5B">
      <w:pPr>
        <w:jc w:val="both"/>
      </w:pPr>
      <w:r>
        <w:t xml:space="preserve">In addition, both plaintiffs testified that they knew that cotton batting burns when it is exposed to flame. Susan Ferlito testified that she knew at the time she purchased the cotton batting that it would burn if exposed to an open flame. Frank Ferlito testified that he knew at the time he appeared at the Halloween party that cotton batting would burn if exposed to an open flame. His additional testimony that he would not have intentionally put a flame to the cotton batting shows that he recognized the risk of injury of which he claims JJP should have warned. Because both plaintiffs were already aware of the danger, a warning by JJP would have been superfluous. Therefore, a reasonable jury could not have found that JJP's failure to provide a warning was a proximate cause of plaintiffs' injuries. </w:t>
      </w:r>
    </w:p>
    <w:p w:rsidR="00032A5B" w:rsidRDefault="00032A5B" w:rsidP="00032A5B">
      <w:pPr>
        <w:jc w:val="both"/>
      </w:pPr>
    </w:p>
    <w:p w:rsidR="00032A5B" w:rsidRDefault="00032A5B" w:rsidP="00032A5B">
      <w:pPr>
        <w:jc w:val="both"/>
      </w:pPr>
      <w:r>
        <w:t xml:space="preserve">The evidence in this case clearly demonstrated that neither the use to which plaintiffs put JJP's product nor the injuries arising from that use were foreseeable. Susan Ferlito testified that the idea for the costume was hers alone. As described on the product's package, its intended uses are for cleansing, applying medications, and infant care. Plaintiffs' showing that the product may be use on occasion in classrooms for decorative purposes failed to demonstrate the foreseeability of an adult male encapsulating himself from head to toe in cotton batting and then lighting up a cigarette. . . . </w:t>
      </w:r>
    </w:p>
    <w:p w:rsidR="00032A5B" w:rsidRDefault="00032A5B" w:rsidP="00032A5B">
      <w:pPr>
        <w:jc w:val="both"/>
      </w:pPr>
    </w:p>
    <w:p w:rsidR="00032A5B" w:rsidRDefault="00032A5B" w:rsidP="00032A5B">
      <w:pPr>
        <w:jc w:val="both"/>
      </w:pPr>
      <w:r>
        <w:t>NOW, THEREFORE, IT IS HEREBY ORDERED that defendant JJP's motion for judgment notwithstanding the verdict is GRANTED.</w:t>
      </w:r>
    </w:p>
    <w:p w:rsidR="00032A5B" w:rsidRDefault="00032A5B" w:rsidP="00032A5B">
      <w:pPr>
        <w:jc w:val="both"/>
      </w:pPr>
    </w:p>
    <w:p w:rsidR="00032A5B" w:rsidRDefault="00032A5B" w:rsidP="00032A5B">
      <w:pPr>
        <w:jc w:val="both"/>
      </w:pPr>
      <w:r>
        <w:t xml:space="preserve">IT IS FURTHER ORDERED that the judgment entered </w:t>
      </w:r>
      <w:smartTag w:uri="urn:schemas-microsoft-com:office:smarttags" w:element="date">
        <w:smartTagPr>
          <w:attr w:name="Year" w:val="1989"/>
          <w:attr w:name="Day" w:val="2"/>
          <w:attr w:name="Month" w:val="11"/>
          <w:attr w:name="ls" w:val="trans"/>
        </w:smartTagPr>
        <w:r>
          <w:t>November 2, 1989</w:t>
        </w:r>
      </w:smartTag>
      <w:r>
        <w:t xml:space="preserve">, is SET ASIDE. </w:t>
      </w:r>
    </w:p>
    <w:p w:rsidR="00032A5B" w:rsidRDefault="00032A5B" w:rsidP="00032A5B">
      <w:pPr>
        <w:jc w:val="both"/>
      </w:pPr>
    </w:p>
    <w:p w:rsidR="00032A5B" w:rsidRDefault="00032A5B" w:rsidP="00032A5B">
      <w:pPr>
        <w:jc w:val="both"/>
      </w:pPr>
      <w:r>
        <w:t>IT IS FURTHER ORDERED that the clerk will enter a judgment in favor of the defendant JJP.</w:t>
      </w:r>
    </w:p>
    <w:p w:rsidR="00032A5B" w:rsidRDefault="00032A5B" w:rsidP="00032A5B">
      <w:pPr>
        <w:jc w:val="both"/>
      </w:pPr>
      <w:r>
        <w:br w:type="page"/>
      </w:r>
    </w:p>
    <w:p w:rsidR="00032A5B" w:rsidRDefault="00032A5B" w:rsidP="00032A5B">
      <w:pPr>
        <w:rPr>
          <w:sz w:val="28"/>
          <w:szCs w:val="28"/>
        </w:rPr>
      </w:pPr>
      <w:r w:rsidRPr="00922DE2">
        <w:rPr>
          <w:sz w:val="28"/>
          <w:szCs w:val="28"/>
        </w:rPr>
        <w:lastRenderedPageBreak/>
        <w:t>II.</w:t>
      </w:r>
      <w:r w:rsidRPr="00922DE2">
        <w:rPr>
          <w:sz w:val="28"/>
          <w:szCs w:val="28"/>
        </w:rPr>
        <w:tab/>
      </w:r>
      <w:r>
        <w:rPr>
          <w:sz w:val="28"/>
          <w:szCs w:val="28"/>
        </w:rPr>
        <w:t>Constitutional Law</w:t>
      </w:r>
    </w:p>
    <w:p w:rsidR="00032A5B" w:rsidRDefault="00032A5B" w:rsidP="00032A5B">
      <w:pPr>
        <w:rPr>
          <w:sz w:val="28"/>
          <w:szCs w:val="28"/>
        </w:rPr>
      </w:pPr>
      <w:r>
        <w:rPr>
          <w:sz w:val="28"/>
          <w:szCs w:val="28"/>
        </w:rPr>
        <w:br w:type="page"/>
      </w:r>
    </w:p>
    <w:p w:rsidR="00032A5B" w:rsidRDefault="00032A5B" w:rsidP="00032A5B">
      <w:pPr>
        <w:ind w:left="300" w:right="300"/>
        <w:jc w:val="center"/>
      </w:pPr>
      <w:r>
        <w:lastRenderedPageBreak/>
        <w:t>UNITED STATES v. DARBY</w:t>
      </w:r>
    </w:p>
    <w:p w:rsidR="00032A5B" w:rsidRDefault="00032A5B" w:rsidP="00032A5B">
      <w:pPr>
        <w:ind w:left="300" w:right="300"/>
        <w:jc w:val="center"/>
      </w:pPr>
    </w:p>
    <w:p w:rsidR="00032A5B" w:rsidRDefault="00032A5B" w:rsidP="00032A5B">
      <w:pPr>
        <w:ind w:left="300" w:right="300"/>
        <w:jc w:val="center"/>
      </w:pPr>
      <w:r>
        <w:t>SUPREME COURT OF THE UNITED STATES</w:t>
      </w:r>
    </w:p>
    <w:p w:rsidR="00032A5B" w:rsidRDefault="00032A5B" w:rsidP="00032A5B">
      <w:pPr>
        <w:ind w:left="300" w:right="300"/>
        <w:jc w:val="center"/>
      </w:pPr>
    </w:p>
    <w:p w:rsidR="00032A5B" w:rsidRDefault="00032A5B" w:rsidP="00032A5B">
      <w:pPr>
        <w:ind w:left="300" w:right="300"/>
        <w:jc w:val="center"/>
      </w:pPr>
      <w:r>
        <w:t>312 U.S. 100</w:t>
      </w:r>
    </w:p>
    <w:p w:rsidR="00032A5B" w:rsidRDefault="00032A5B" w:rsidP="00032A5B">
      <w:pPr>
        <w:ind w:left="300" w:right="300"/>
        <w:jc w:val="center"/>
      </w:pPr>
      <w:r>
        <w:t xml:space="preserve">    </w:t>
      </w:r>
    </w:p>
    <w:p w:rsidR="00032A5B" w:rsidRDefault="00032A5B" w:rsidP="00032A5B">
      <w:pPr>
        <w:ind w:left="300" w:right="300"/>
        <w:jc w:val="center"/>
      </w:pPr>
      <w:r>
        <w:t>February 3, 1941, Decided</w:t>
      </w:r>
    </w:p>
    <w:p w:rsidR="00032A5B" w:rsidRDefault="00032A5B" w:rsidP="00032A5B">
      <w:pPr>
        <w:jc w:val="both"/>
      </w:pPr>
    </w:p>
    <w:p w:rsidR="00032A5B" w:rsidRDefault="00032A5B" w:rsidP="00032A5B">
      <w:pPr>
        <w:jc w:val="both"/>
      </w:pPr>
    </w:p>
    <w:p w:rsidR="00032A5B" w:rsidRDefault="00032A5B" w:rsidP="00032A5B">
      <w:pPr>
        <w:jc w:val="both"/>
      </w:pPr>
      <w:r>
        <w:t xml:space="preserve">JUDGES: Hughes, McReynolds, Stone, Roberts, Black, Reed, Frankfurter, Douglas, Murphy  </w:t>
      </w:r>
    </w:p>
    <w:p w:rsidR="00032A5B" w:rsidRDefault="00032A5B" w:rsidP="00032A5B">
      <w:pPr>
        <w:jc w:val="both"/>
      </w:pPr>
    </w:p>
    <w:p w:rsidR="00032A5B" w:rsidRDefault="00032A5B" w:rsidP="00032A5B">
      <w:pPr>
        <w:jc w:val="both"/>
      </w:pPr>
      <w:r>
        <w:t xml:space="preserve">OPINION:    MR. JUSTICE STONE delivered the opinion of the Court.  </w:t>
      </w:r>
    </w:p>
    <w:p w:rsidR="00032A5B" w:rsidRDefault="00032A5B" w:rsidP="00032A5B">
      <w:pPr>
        <w:jc w:val="both"/>
      </w:pPr>
    </w:p>
    <w:p w:rsidR="00032A5B" w:rsidRDefault="00032A5B" w:rsidP="00032A5B">
      <w:pPr>
        <w:jc w:val="both"/>
      </w:pPr>
      <w:r>
        <w:t>The two principal questions raised by the record in this case are, first, whether Congress has constitutional power to prohibit the shipment in interstate commerce of lumber manufactured by employees whose wages are less than a prescribed minimum or whose weekly hours of labor at that wage are greater than a prescribed maximum, and, second, whether it has power to prohibit the employment of workmen in the production of goods “for interstate commerce” at other than prescribed wages and hours. . . .</w:t>
      </w:r>
    </w:p>
    <w:p w:rsidR="00032A5B" w:rsidRDefault="00032A5B" w:rsidP="00032A5B">
      <w:pPr>
        <w:jc w:val="both"/>
      </w:pPr>
      <w:r>
        <w:t xml:space="preserve"> </w:t>
      </w:r>
    </w:p>
    <w:p w:rsidR="00032A5B" w:rsidRDefault="00032A5B" w:rsidP="00032A5B">
      <w:pPr>
        <w:jc w:val="both"/>
      </w:pPr>
      <w:r>
        <w:t>The Fair Labor Standards Act set up a comprehensive legislative scheme for preventing the shipment in interstate commerce of certain products and commodities produced in the United States under labor conditions as respects wages and hours which fail to conform to standards set up by the Act.  Its purpose . . . is to exclude from interstate commerce goods produced for the commerce and to prevent their production for interstate commerce, under conditions detrimental to the maintenance of the minimum standards of living necessary for health and general well-being; and to prevent the use of interstate commerce as the means of competition in the distribution of goods so produced, and as the means of spreading and perpetuating such substandard labor conditions among the workers of the several states. . . .</w:t>
      </w:r>
    </w:p>
    <w:p w:rsidR="00032A5B" w:rsidRDefault="00032A5B" w:rsidP="00032A5B">
      <w:pPr>
        <w:jc w:val="both"/>
      </w:pPr>
    </w:p>
    <w:p w:rsidR="00032A5B" w:rsidRDefault="00032A5B" w:rsidP="00032A5B">
      <w:pPr>
        <w:jc w:val="both"/>
      </w:pPr>
      <w:r>
        <w:t>Section 15 (1) makes unlawful  the shipment in interstate commerce of any goods “in the production of which any employee was employed in violation of section 6 or section 7,” which provide, among other things, that during the first year of operation of the Act a minimum wage of 25 cents per hour shall be paid to employees "engaged in [interstate] commerce or the production of goods for [interstate] commerce,” and that the maximum hours of employment for employees “engaged in commerce or the production of goods for commerce” without increased compensation for overtime, shall be forty-four hours a week. . . . .</w:t>
      </w:r>
    </w:p>
    <w:p w:rsidR="00032A5B" w:rsidRDefault="00032A5B" w:rsidP="00032A5B">
      <w:pPr>
        <w:jc w:val="both"/>
      </w:pPr>
    </w:p>
    <w:p w:rsidR="00032A5B" w:rsidRDefault="00032A5B" w:rsidP="00032A5B">
      <w:pPr>
        <w:jc w:val="both"/>
      </w:pPr>
      <w:r>
        <w:t xml:space="preserve">The indictment charges that appellee is engaged, in the State of Georgia, in the business of acquiring raw materials, which he manufactures into finished lumber with the intent, when manufactured, to ship it in interstate commerce to customers outside the state, and that he does in fact so ship a large part of the lumber so produced.  There are numerous counts charging appellee with the shipment in interstate commerce from Georgia to points outside the state of lumber in the production of which, for interstate commerce, appellee has employed workmen at less than the prescribed minimum wage or more than the prescribed maximum hours without payment to them of any wage for overtime.  Other counts charge the employment by appellee of workmen in the production of lumber for interstate commerce at wages at less than 25 cents an hour or for more than the maximum hours per week without payment to them of the prescribed overtime wage. . . . </w:t>
      </w:r>
    </w:p>
    <w:p w:rsidR="00032A5B" w:rsidRDefault="00032A5B" w:rsidP="00032A5B">
      <w:pPr>
        <w:jc w:val="both"/>
      </w:pPr>
    </w:p>
    <w:p w:rsidR="00032A5B" w:rsidRDefault="00032A5B" w:rsidP="00032A5B">
      <w:pPr>
        <w:jc w:val="both"/>
      </w:pPr>
      <w:r>
        <w:t xml:space="preserve">The district court quashed the indictment in its entirety upon the broad grounds that the Act, which it interpreted as a regulation of manufacture within the states, is unconstitutional.  It declared that manufacture is not interstate commerce and that the regulation by the Fair Labor Standards Act of wages and hours of employment of those engaged in the manufacture of goods . . .  is not within the congressional power to regulate interstate commerce.  </w:t>
      </w:r>
    </w:p>
    <w:p w:rsidR="00032A5B" w:rsidRDefault="00032A5B" w:rsidP="00032A5B">
      <w:pPr>
        <w:jc w:val="both"/>
      </w:pPr>
    </w:p>
    <w:p w:rsidR="00032A5B" w:rsidRDefault="00032A5B" w:rsidP="00032A5B">
      <w:pPr>
        <w:jc w:val="both"/>
      </w:pPr>
      <w:r>
        <w:t xml:space="preserve">The effect of the court's decision and judgment is thus to deny the power of Congress to prohibit shipment in interstate commerce of lumber produced for interstate commerce under the proscribed substandard labor conditions of wages and hours, its power to penalize the employer for his failure to conform to the wage and hour provisions in the case of employees engaged in the production of lumber which he intends thereafter to ship in interstate commerce in part or in whole according to the normal course of his business and its power to compel him to keep records of hours of employment as required by the statute and the regulations of the administrator. . . . </w:t>
      </w:r>
    </w:p>
    <w:p w:rsidR="00032A5B" w:rsidRDefault="00032A5B" w:rsidP="00032A5B">
      <w:pPr>
        <w:jc w:val="both"/>
      </w:pPr>
    </w:p>
    <w:p w:rsidR="00032A5B" w:rsidRDefault="00032A5B" w:rsidP="00032A5B">
      <w:pPr>
        <w:jc w:val="both"/>
      </w:pPr>
      <w:r>
        <w:lastRenderedPageBreak/>
        <w:t xml:space="preserve">While manufacture is not of itself interstate commerce, the shipment of manufactured goods interstate is such commerce and the prohibition of such shipment by Congress is indubitably a regulation of the commerce.  The power to regulate commerce is the power “to prescribe the rule by which commerce is governed.” . . . It extends not only to those regulations which aid, foster and protect the commerce, but embraces those which prohibit it. . . . </w:t>
      </w:r>
    </w:p>
    <w:p w:rsidR="00032A5B" w:rsidRDefault="00032A5B" w:rsidP="00032A5B">
      <w:pPr>
        <w:jc w:val="both"/>
      </w:pPr>
    </w:p>
    <w:p w:rsidR="00032A5B" w:rsidRDefault="00032A5B" w:rsidP="00032A5B">
      <w:pPr>
        <w:jc w:val="both"/>
      </w:pPr>
      <w:r>
        <w:t xml:space="preserve">But it is said that the present prohibition falls within the scope of none of these categories; that while the prohibition is nominally a regulation of the commerce its motive or purpose is regulation of wages  and hours of persons engaged in manufacture, the control of which has been reserved to the states and upon which Georgia and some of the states of destination have placed no restriction; that the effect of the present statute is not to exclude the proscribed articles from interstate commerce in aid of state regulation. . . . but instead, under the guise of a regulation of interstate commerce, it undertakes to regulate wages and hours within the state contrary to the policy of the state which has elected to leave them unregulated.   The power of Congress over interstate commerce "is complete in itself, may be exercised to its utmost extent, and acknowledges no limitations other than are prescribed  in the Constitution." </w:t>
      </w:r>
      <w:r>
        <w:rPr>
          <w:i/>
        </w:rPr>
        <w:t>Gibbons v. Ogden, supra, 196.</w:t>
      </w:r>
      <w:r>
        <w:t xml:space="preserve"> . . .    Congress, following its own conception of public policy concerning the restrictions which may appropriately be imposed on interstate commerce, is free to exclude from the commerce articles whose use in the states for which they are destined it may conceive to be injurious to the public health, morals or welfare, even though the state has not sought to regulate their use.  Such regulation is not a forbidden invasion of state power merely because either its motive or its consequence is to restrict the use of articles of commerce within the states of destination; and is not prohibited unless by other Constitutional provisions.  It is no objection to the assertion of the power to regulate interstate commerce that its exercise is attended by the same incidents which attend the exercise of the police power of the states.  The motive and purpose of the present regulation are plainly to make effective the Congressional conception of public policy that interstate commerce should not be made the instrument of competition in the distribution of goods produced under substandard labor conditions, which competition is injurious to the commerce and to the states from and to which the commerce flows.  . . . Whatever their motive and purpose, regulations of commerce which do not infringe some constitutional prohibition are within the plenary power conferred on Congress by the Commerce Clause.  Subject only to that limitation, presently to be considered, we conclude that the prohibition of the shipment interstate of goods produced under the forbidden substandard labor conditions is within the constitutional authority of Congress.  </w:t>
      </w:r>
    </w:p>
    <w:p w:rsidR="00032A5B" w:rsidRDefault="00032A5B" w:rsidP="00032A5B">
      <w:pPr>
        <w:jc w:val="both"/>
      </w:pPr>
    </w:p>
    <w:p w:rsidR="00032A5B" w:rsidRDefault="00032A5B" w:rsidP="00032A5B">
      <w:pPr>
        <w:jc w:val="both"/>
      </w:pPr>
      <w:r>
        <w:t xml:space="preserve">In the more than a century which has elapsed since the decision of </w:t>
      </w:r>
      <w:r w:rsidRPr="00646EF1">
        <w:rPr>
          <w:i/>
        </w:rPr>
        <w:t>Gibbons v. Ogden</w:t>
      </w:r>
      <w:r>
        <w:t xml:space="preserve"> (1824), these principles of constitutional interpretation have been so long and repeatedly recognized by this Court as applicable to the Commerce Clause, that there would be little occasion for repeating them now were it not for the decision of this Court twenty-two years ago in </w:t>
      </w:r>
      <w:r>
        <w:rPr>
          <w:i/>
        </w:rPr>
        <w:t>Hammer v. Dagenhart, 247 U.S. 251.</w:t>
      </w:r>
      <w:r>
        <w:t xml:space="preserve">  In that case it was held by a bare majority of the Court over the powerful and now classic dissent of Mr. Justice Holmes setting forth the fundamental issues involved, that Congress was without power to exclude the products of child labor from interstate commerce.  The reasoning and conclusion of the Court's opinion there cannot be reconciled with the conclusion which we have reached, that the power of Congress under the Commerce Clause is plenary to exclude any article from interstate commerce subject only to the specific prohibitions of the Constitution.  </w:t>
      </w:r>
    </w:p>
    <w:p w:rsidR="00032A5B" w:rsidRDefault="00032A5B" w:rsidP="00032A5B">
      <w:pPr>
        <w:jc w:val="both"/>
      </w:pPr>
    </w:p>
    <w:p w:rsidR="00032A5B" w:rsidRDefault="00032A5B" w:rsidP="00032A5B">
      <w:pPr>
        <w:jc w:val="both"/>
      </w:pPr>
      <w:r>
        <w:t>Hammer v. Dagenhart has not been followed.  The distinction on which the decision was rested that Congressional power to prohibit interstate commerce is limited to articles which in themselves have some harmful or deleterious  property — a distinction which was novel when made and unsupported by any provision of the Constitution — has long since been abandoned.  The thesis of the opinion that the motive of the prohibition or its effect to control in some measure the use or production within the states of the article thus excluded from the commerce can operate to deprive the regulation of its constitutional authority has long since ceased to have force.  And finally we have declared "The authority of the federal government over interstate commerce does not differ in extent or character from that retained by the states over intrastate commerce." [cites omitted]</w:t>
      </w:r>
    </w:p>
    <w:p w:rsidR="00032A5B" w:rsidRDefault="00032A5B" w:rsidP="00032A5B">
      <w:pPr>
        <w:jc w:val="both"/>
      </w:pPr>
    </w:p>
    <w:p w:rsidR="00032A5B" w:rsidRDefault="00032A5B" w:rsidP="00032A5B">
      <w:pPr>
        <w:jc w:val="both"/>
      </w:pPr>
      <w:r>
        <w:t>The conclusion is inescapable that Hammer v. Dagenhart was a departure from the principles which have prevailed in the interpretation of the Commerce Clause both before and since the decision and that such vitality, as a precedent, as it then had has long since been exhausted.  It should be and now is overruled.</w:t>
      </w:r>
    </w:p>
    <w:p w:rsidR="00032A5B" w:rsidRDefault="00032A5B" w:rsidP="00032A5B">
      <w:pPr>
        <w:jc w:val="both"/>
      </w:pPr>
    </w:p>
    <w:p w:rsidR="00032A5B" w:rsidRDefault="00032A5B" w:rsidP="00032A5B">
      <w:pPr>
        <w:jc w:val="both"/>
      </w:pPr>
      <w:r>
        <w:t xml:space="preserve">. . . .  As the Government seeks to apply the statute in the indictment, and as the court below construed the phrase "produced for interstate commerce," it embraces at least the case where an employer engaged, as is appellee, in the manufacture and shipment of goods in filling orders of extrastate customers, manufactures his product with the intent or expectation that according to the normal course of his business all or some part of it will be selected for shipment to those customers.  </w:t>
      </w:r>
    </w:p>
    <w:p w:rsidR="00032A5B" w:rsidRDefault="00032A5B" w:rsidP="00032A5B">
      <w:pPr>
        <w:jc w:val="both"/>
      </w:pPr>
    </w:p>
    <w:p w:rsidR="00032A5B" w:rsidRDefault="00032A5B" w:rsidP="00032A5B">
      <w:pPr>
        <w:jc w:val="both"/>
      </w:pPr>
      <w:r>
        <w:t xml:space="preserve">Without attempting to define the precise limits of the phrase, we think the acts alleged in the indictment are within the sweep of the statute.  The obvious purpose of the Act was not only to prevent the interstate transportation of the proscribed product, but to stop the initial step toward transportation, production with the purpose of so transporting it.  Congress was not unaware that most manufacturing businesses shipping their product in interstate commerce make it in their shops without reference to its ultimate destination and then after manufacture select some of it for shipment interstate and some intrastate according to the daily demands of their business, and that it would be practically impossible, without disrupting manufacturing businesses, to restrict the prohibited kind of production to the particular pieces of lumber, cloth, furniture or the like which later move in interstate rather than intrastate commerce.  [cite omitted] . . . </w:t>
      </w:r>
    </w:p>
    <w:p w:rsidR="00032A5B" w:rsidRDefault="00032A5B" w:rsidP="00032A5B">
      <w:pPr>
        <w:jc w:val="both"/>
      </w:pPr>
    </w:p>
    <w:p w:rsidR="00032A5B" w:rsidRDefault="00032A5B" w:rsidP="00032A5B">
      <w:pPr>
        <w:jc w:val="both"/>
      </w:pPr>
      <w:r>
        <w:t>There remains the question whether such restriction on the production of goods for commerce is a permissible exercise of the commerce power.  The power of Congress over interstate commerce is not confined to the regulation of commerce among the states.  It extends to those activities intrastate which so affect interstate commerce or the exercise of the power of Congress over it as to make regulation of them appropriate means to the attainment of a legitimate end, the exercise of the granted power of Congress to regulate interstate commerce</w:t>
      </w:r>
    </w:p>
    <w:p w:rsidR="00032A5B" w:rsidRDefault="00032A5B" w:rsidP="00032A5B">
      <w:pPr>
        <w:jc w:val="both"/>
      </w:pPr>
    </w:p>
    <w:p w:rsidR="00032A5B" w:rsidRDefault="00032A5B" w:rsidP="00032A5B">
      <w:pPr>
        <w:jc w:val="both"/>
      </w:pPr>
      <w:r>
        <w:t xml:space="preserve">While this Court has many times found state regulation of interstate commerce, when uniformity of its regulation is of national concern, to be incompatible with the Commerce Clause even though Congress has not legislated on the subject, the Court has never implied such restraint on state control over matters intrastate not deemed to be regulations of interstate commerce or its instrumentalities even though they affect the commerce.  In the absence of Congressional legislation on the subject state laws which are not regulations of the commerce itself or its instrumentalities are not forbidden  even though they affect interstate commerce. </w:t>
      </w:r>
    </w:p>
    <w:p w:rsidR="00032A5B" w:rsidRDefault="00032A5B" w:rsidP="00032A5B">
      <w:pPr>
        <w:jc w:val="both"/>
      </w:pPr>
    </w:p>
    <w:p w:rsidR="00032A5B" w:rsidRDefault="00032A5B" w:rsidP="00032A5B">
      <w:pPr>
        <w:jc w:val="both"/>
      </w:pPr>
      <w:r>
        <w:t xml:space="preserve">But it does not follow that Congress may not by appropriate legislation regulate intrastate activities where they have a substantial effect on interstate commerce. . . . .   In such legislation Congress has sometimes left it to the courts to determine whether the intrastate activities have the prohibited effect on the commerce . . .   It has sometimes left it to an administrative board or agency to determine whether the activities sought to be regulated or prohibited have such effect, or whether they come within the statutory definition of the prohibited Act. . . .    And sometimes Congress itself has said that a particular activity affects the commerce, as it did in the present Act . . . .  In passing on the validity of legislation of the class last mentioned the only function of courts is to determine whether the particular activity regulated or prohibited is within the of the federal power. </w:t>
      </w:r>
    </w:p>
    <w:p w:rsidR="00032A5B" w:rsidRDefault="00032A5B" w:rsidP="00032A5B">
      <w:pPr>
        <w:jc w:val="both"/>
      </w:pPr>
    </w:p>
    <w:p w:rsidR="00032A5B" w:rsidRDefault="00032A5B" w:rsidP="00032A5B">
      <w:pPr>
        <w:jc w:val="both"/>
      </w:pPr>
      <w:r>
        <w:t>Congress, having by the present Act adopted the policy of excluding from interstate commerce all goods produced for the commerce which do not conform to the specified labor standards, it may choose the means reasonably adapted to the attainment of the permitted end, even though they involve control of intrastate activities.  Such legislation has often been sustained with respect to powers, other than the commerce power granted to the national government, when the means chosen, although not themselves within the granted power, were nevertheless deemed appropriate aids to the accomplishment of some purpose within an admitted power of the national government.  A familiar like exercise of power is the regulation of intrastate transactions which are so commingled with or related to interstate commerce that all must be regulated if the interstate commerce is to be effectively controlled. . . . .</w:t>
      </w:r>
    </w:p>
    <w:p w:rsidR="00032A5B" w:rsidRDefault="00032A5B" w:rsidP="00032A5B">
      <w:pPr>
        <w:jc w:val="both"/>
      </w:pPr>
    </w:p>
    <w:p w:rsidR="00032A5B" w:rsidRDefault="00032A5B" w:rsidP="00032A5B">
      <w:pPr>
        <w:jc w:val="both"/>
      </w:pPr>
      <w:r>
        <w:t xml:space="preserve">. . . .  As we have said the evils aimed at by the Act are the spread of substandard labor conditions through the use of the facilities of interstate commerce for competition by the goods so produced with those produced under the prescribed or better labor conditions; and the consequent dislocation of the commerce itself caused by the impairment or destruction of local businesses by competition made effective through interstate commerce.  The Act is thus directed at the suppression of a method or kind of competition in interstate commerce which it has in effect condemned as "unfair" . . . The means adopted by §15(a)(2) for the protection of interstate commerce by the suppression of the production of the condemned goods for interstate commerce is so related to the commerce and so affects it as to be within the reach of the commerce power. . . . </w:t>
      </w:r>
    </w:p>
    <w:p w:rsidR="00032A5B" w:rsidRDefault="00032A5B" w:rsidP="00032A5B">
      <w:pPr>
        <w:jc w:val="both"/>
      </w:pPr>
    </w:p>
    <w:p w:rsidR="00032A5B" w:rsidRDefault="00032A5B" w:rsidP="00032A5B">
      <w:pPr>
        <w:jc w:val="both"/>
      </w:pPr>
      <w:r>
        <w:t>Reverse</w:t>
      </w:r>
    </w:p>
    <w:p w:rsidR="00032A5B" w:rsidRDefault="00032A5B" w:rsidP="00032A5B"/>
    <w:p w:rsidR="00032A5B" w:rsidRDefault="00032A5B" w:rsidP="00032A5B">
      <w:pPr>
        <w:jc w:val="center"/>
      </w:pPr>
      <w:r>
        <w:br w:type="page"/>
      </w:r>
    </w:p>
    <w:p w:rsidR="00032A5B" w:rsidRDefault="00032A5B" w:rsidP="00032A5B">
      <w:pPr>
        <w:jc w:val="center"/>
      </w:pPr>
      <w:r>
        <w:lastRenderedPageBreak/>
        <w:t>UNITED STATES, PETITIONER v. ALFONSO LOPEZ, JR.</w:t>
      </w:r>
    </w:p>
    <w:p w:rsidR="00032A5B" w:rsidRDefault="00032A5B" w:rsidP="00032A5B">
      <w:pPr>
        <w:jc w:val="center"/>
      </w:pPr>
    </w:p>
    <w:p w:rsidR="00032A5B" w:rsidRDefault="00032A5B" w:rsidP="00032A5B">
      <w:pPr>
        <w:jc w:val="center"/>
      </w:pPr>
      <w:r>
        <w:t>U.S. Supreme Court</w:t>
      </w:r>
    </w:p>
    <w:p w:rsidR="00032A5B" w:rsidRDefault="00032A5B" w:rsidP="00032A5B">
      <w:pPr>
        <w:jc w:val="center"/>
      </w:pPr>
    </w:p>
    <w:p w:rsidR="00032A5B" w:rsidRDefault="00032A5B" w:rsidP="00032A5B">
      <w:pPr>
        <w:jc w:val="center"/>
      </w:pPr>
      <w:r>
        <w:t>Argued November 8, 1994</w:t>
      </w:r>
    </w:p>
    <w:p w:rsidR="00032A5B" w:rsidRDefault="00032A5B" w:rsidP="00032A5B">
      <w:pPr>
        <w:jc w:val="center"/>
      </w:pPr>
      <w:r>
        <w:t>Decided April 26, 1995</w:t>
      </w:r>
    </w:p>
    <w:p w:rsidR="00032A5B" w:rsidRDefault="00032A5B" w:rsidP="00032A5B"/>
    <w:p w:rsidR="00032A5B" w:rsidRDefault="00032A5B" w:rsidP="00032A5B"/>
    <w:p w:rsidR="00032A5B" w:rsidRDefault="00032A5B" w:rsidP="00032A5B">
      <w:r>
        <w:t>Facts:</w:t>
      </w:r>
      <w:r>
        <w:tab/>
        <w:t>After respondent, a 12th-grade student, carried a concealed handgun into his high school, he was charged with violating the Gun-Free School Zones Act of 1990, which forbids "any individual knowingly to possess a firearm at a place that [he] knows is a school zone."  The District Court denied his motion to dismiss the indictment, concluding that the Act is a constitutional exercise of Congress' power to regulate activities in and affecting commerce.  In reversing, the Court of Appeals held that the Act is invalid as beyond Congress' power under the Commerce Clause.</w:t>
      </w:r>
    </w:p>
    <w:p w:rsidR="00032A5B" w:rsidRDefault="00032A5B" w:rsidP="00032A5B"/>
    <w:p w:rsidR="00032A5B" w:rsidRDefault="00032A5B" w:rsidP="00032A5B">
      <w:r>
        <w:t>Held:</w:t>
      </w:r>
      <w:r>
        <w:tab/>
        <w:t>The Act exceeds Congress' Commerce Clause authority.  First, although this Court has upheld a wide variety of congressional Acts regulating intrastate economic activity that substantially affected interstate commerce, the possession of a gun in a local school zone is in no sense an economic activity that might, through repetition elsewhere, have such a substantial effect on interstate commerce.  The Act is a criminal statute that by its terms has nothing to do with "commerce" or any sort of economic enterprise, however broadly those terms are defined.  Nor is it an essential part of a larger regulation of economic activity, in which the regulatory scheme could be undercut unless the intrastate activity were regulated.  It cannot, therefore, be sustained under the Court's cases upholding regulations of activities that arise out of or are connected with a commercial transaction, which viewed in the aggregate, substantially affects interstate commerce.</w:t>
      </w:r>
    </w:p>
    <w:p w:rsidR="00032A5B" w:rsidRDefault="00032A5B" w:rsidP="00032A5B"/>
    <w:p w:rsidR="00032A5B" w:rsidRDefault="00032A5B" w:rsidP="00032A5B"/>
    <w:p w:rsidR="00032A5B" w:rsidRDefault="00032A5B" w:rsidP="00032A5B">
      <w:r>
        <w:t>REHNQUIST, C. J., delivered the opinion of the Court, in which O'CONNOR, SCALIA, KENNEDY, and THOMAS, JJ., joined.  KENNEDY, J., filed a concurring opinion, in which O'CONNOR, J., joined. THOMAS, J., filed a concurring opinion.   STEVENS, J., and SOUTER, J., filed dissenting opinions. BREYER, J., filed a dissenting opinion, in which STEVENS, SOUTER, and GINSBURG, JJ., joined.</w:t>
      </w:r>
    </w:p>
    <w:p w:rsidR="00032A5B" w:rsidRDefault="00032A5B" w:rsidP="00032A5B"/>
    <w:p w:rsidR="00032A5B" w:rsidRDefault="00032A5B" w:rsidP="00032A5B"/>
    <w:p w:rsidR="00032A5B" w:rsidRDefault="00032A5B" w:rsidP="00032A5B">
      <w:r>
        <w:t>OPINION:   REHNQUIST, C. J.,</w:t>
      </w:r>
    </w:p>
    <w:p w:rsidR="00032A5B" w:rsidRDefault="00032A5B" w:rsidP="00032A5B"/>
    <w:p w:rsidR="00032A5B" w:rsidRDefault="00032A5B" w:rsidP="00032A5B">
      <w:r>
        <w:t xml:space="preserve">We start with first principles.  The Constitution creates a Federal Government of enumerated powers.  As James Madison wrote, "[t]he powers delegated by the proposed Constitution to the federal government are few and defined. Those which are to remain in the State governments are numerous and indefinite."  The Federalist No. 45.   This constitutionally mandated division of authority "was adopted by the Framers to ensure protection of our fundamental liberties." . . . </w:t>
      </w:r>
    </w:p>
    <w:p w:rsidR="00032A5B" w:rsidRDefault="00032A5B" w:rsidP="00032A5B"/>
    <w:p w:rsidR="00032A5B" w:rsidRDefault="00032A5B" w:rsidP="00032A5B">
      <w:r>
        <w:t xml:space="preserve">The commerce power "is the power to regulate; that is, to prescribe the rule by which commerce is to be governed.  This power, like all others vested in Congress, is complete in itself, may be exercised to its utmost extent, and acknowledges no limitations, other than are prescribed in the constitution."   The Gibbons Court, however, acknowledged that limitations on the commerce power are inherent in the very language of the Commerce Clause. . . . </w:t>
      </w:r>
    </w:p>
    <w:p w:rsidR="00032A5B" w:rsidRDefault="00032A5B" w:rsidP="00032A5B"/>
    <w:p w:rsidR="00032A5B" w:rsidRDefault="00032A5B" w:rsidP="00032A5B">
      <w:r>
        <w:t>For nearly a century thereafter, the Court's Commerce Clause decisions dealt but rarely with the extent of Congress' power, and almost entirely with the Commerce Clause as a limit on state legislation that discriminated against interstate commerce. . . .  Under this line of precedent, the Court held that certain categories of activity such as "production," "manufacturing," and "mining" were within the province of state governments, and thus were beyond the power of Congress under the Commerce Clause. . .</w:t>
      </w:r>
    </w:p>
    <w:p w:rsidR="00032A5B" w:rsidRDefault="00032A5B" w:rsidP="00032A5B"/>
    <w:p w:rsidR="00032A5B" w:rsidRDefault="00032A5B" w:rsidP="00032A5B">
      <w:r>
        <w:t xml:space="preserve">In 1887, Congress enacted the Interstate Commerce Act, and in 1890, Congress enacted the Sherman Antitrust Act.  These laws ushered in a new era of federal regulation under the commerce power.  When cases involving these laws first reached this Court, we imported from our negative Commerce Clause cases the approach that Congress could not regulate activities such as "production," "manufacturing," and "mining."  . . .  Simultaneously, however, the Court held that, where the interstate and intrastate aspects of commerce were so mingled together that full regulation of interstate </w:t>
      </w:r>
      <w:r>
        <w:lastRenderedPageBreak/>
        <w:t>commerce required incidental regulation of intrastate commerce, the Commerce Clause authorized such regulation. . . . .   The Court held that intrastate activities that "have such a close and substantial relation to interstate commerce that their control is essential or appropriate to protect that commerce from burdens and obstructions" are within Congress' power to regulate.</w:t>
      </w:r>
    </w:p>
    <w:p w:rsidR="00032A5B" w:rsidRDefault="00032A5B" w:rsidP="00032A5B"/>
    <w:p w:rsidR="00032A5B" w:rsidRDefault="00032A5B" w:rsidP="00032A5B">
      <w:r>
        <w:t>In United States v. Darby, 312 U.S. 100 (1941), the Court upheld the Fair Labor Standards Act, stating:  "The power of Congress over interstate commerce is not confined to the regulation of commerce among the states. It extends to those activities intrastate which so affect interstate commerce or the exercise of the power of Congress over it as to make regulation of them appropriate means to the attainment of a legitimate end, the exercise of the granted power of Congress to regulate interstate commerce."</w:t>
      </w:r>
    </w:p>
    <w:p w:rsidR="00032A5B" w:rsidRDefault="00032A5B" w:rsidP="00032A5B"/>
    <w:p w:rsidR="00032A5B" w:rsidRDefault="00032A5B" w:rsidP="00032A5B">
      <w:r>
        <w:t>. . . .  Darby ushered in an era of Commerce Clause jurisprudence that greatly expanded the previously defined authority of Congress under that Clause.  In part, this was a recognition of the great changes that had occurred in the way business was carried on in this country.  Enterprises that had once been local or at most regional in nature had become national in scope.  But the doctrinal change also reflected a view that earlier Commerce Clause cases artificially had constrained the authority of Congress to regulate interstate commerce.</w:t>
      </w:r>
    </w:p>
    <w:p w:rsidR="00032A5B" w:rsidRDefault="00032A5B" w:rsidP="00032A5B"/>
    <w:p w:rsidR="00032A5B" w:rsidRDefault="00032A5B" w:rsidP="00032A5B">
      <w:r>
        <w:t xml:space="preserve">But even these modern-era precedents which have expanded congressional power under the Commerce Clause confirm that this power is subject to outer limits. . . .   </w:t>
      </w:r>
    </w:p>
    <w:p w:rsidR="00032A5B" w:rsidRDefault="00032A5B" w:rsidP="00032A5B"/>
    <w:p w:rsidR="00032A5B" w:rsidRDefault="00032A5B" w:rsidP="00032A5B">
      <w:r>
        <w:t>Consistent with this structure, we have identified three broad categories of activity that Congress may regulate under its commerce power.  . . . .  First, Congress may regulate the use of the channels of interstate commerce.   See, e.g., Darby, 312 U.S. . . .    Second, Congress is empowered to regulate and protect the instrumentalities of interstate commerce, or persons or things in interstate commerce, even though the threat may come only from intrastate activities. . . .  Finally, Congress' commerce authority includes the power to regulate those activities having a substantial relation to interstate commerce, i.e., those activities that substantially affect interstate commerce. . . .</w:t>
      </w:r>
    </w:p>
    <w:p w:rsidR="00032A5B" w:rsidRDefault="00032A5B" w:rsidP="00032A5B"/>
    <w:p w:rsidR="00032A5B" w:rsidRDefault="00032A5B" w:rsidP="00032A5B">
      <w:r>
        <w:t>We now turn to consider the power of Congress, in the light of this framework. . . . .</w:t>
      </w:r>
    </w:p>
    <w:p w:rsidR="00032A5B" w:rsidRDefault="00032A5B" w:rsidP="00032A5B"/>
    <w:p w:rsidR="00032A5B" w:rsidRDefault="00032A5B" w:rsidP="00032A5B">
      <w:r>
        <w:t>First, we have upheld a wide variety of congressional Acts regulating intrastate economic activity where we have concluded that the activity substantially affected interstate commerce. . . . Where economic activity substantially affects interstate commerce, legislation regulating that activity will be sustained. . . . .</w:t>
      </w:r>
    </w:p>
    <w:p w:rsidR="00032A5B" w:rsidRDefault="00032A5B" w:rsidP="00032A5B"/>
    <w:p w:rsidR="00032A5B" w:rsidRDefault="00032A5B" w:rsidP="00032A5B">
      <w:r>
        <w:t>The Government argues that Congress has accumulated institutional expertise regarding the regulation of firearms through previous enactments. . . .   The Government's essential contention, in fine, is that we may determine here that the Act is valid because possession of a firearm in a local school zone does indeed substantially affect interstate commerce.   The Government argues that possession of a firearm in a school zone may result in violent crime and that violent crime can be expected to affect the functioning of the national economy in two ways.  First, the costs of violent crime are substantial, and, through the mechanism of insurance, those costs are spread throughout the population.  Second, violent crime reduces the willingness of individuals to travel to areas within the country that are perceived to be unsafe. . . .  The Government also argues that the presence of guns in schools poses a substantial threat to the educational process by threatening the learning environment. . . .  That, in turn, would have an adverse effect on the Nation's economic well-being.  As a result, the Government argues that Congress could rationally have concluded that the Act substantially affects interstate commerce.</w:t>
      </w:r>
    </w:p>
    <w:p w:rsidR="00032A5B" w:rsidRDefault="00032A5B" w:rsidP="00032A5B"/>
    <w:p w:rsidR="00032A5B" w:rsidRDefault="00032A5B" w:rsidP="00032A5B">
      <w:r>
        <w:t>We pause to consider the implications of the Government's arguments.  The Government admits, under its "costs of crime" reasoning, that Congress could regulate not only all violent crime, but all activities that might lead to violent crime, regardless of how tenuously they relate to interstate commerce.  Similarly, under the Government's "national productivity" reasoning, Congress could regulate any  activity that it found was related to the economic productivity of individual citizens: family law (including marriage, divorce, and child custody), for example.  Under the theories that the Government presents in support of the Act, it is difficult to perceive any limitation on federal power, even in areas such as criminal law enforcement or education where States historically have been sovereign.  Thus, if we were to accept the Government's arguments, we are hard-pressed to posit any activity by an individual that Congress is without power to regulate. . . .</w:t>
      </w:r>
    </w:p>
    <w:p w:rsidR="00032A5B" w:rsidRDefault="00032A5B" w:rsidP="00032A5B"/>
    <w:p w:rsidR="00032A5B" w:rsidRDefault="00032A5B" w:rsidP="00032A5B">
      <w:r>
        <w:lastRenderedPageBreak/>
        <w:t xml:space="preserve">Admittedly, a determination whether an intrastate activity is commercial or noncommercial may in some cases result in legal uncertainty.  But, so long as Congress' authority is limited to those powers enumerated in the Constitution, and so long as those enumerated powers are interpreted as having judicially enforceable outer limits, congressional legislation under the Commerce Clause always will engender "legal uncertainty." . . . . </w:t>
      </w:r>
    </w:p>
    <w:p w:rsidR="00032A5B" w:rsidRDefault="00032A5B" w:rsidP="00032A5B"/>
    <w:p w:rsidR="00032A5B" w:rsidRDefault="00032A5B" w:rsidP="00032A5B">
      <w:r>
        <w:t>These are not precise formulations, and in the nature of things they cannot be.  But we think they point the way to a correct decision of this case.  The possession of a gun in a local school zone is in no sense an economic activity that might, through repetition elsewhere, substantially affect any sort of interstate commerce.   Respondent was a local student at a local school; there is no indication that he had recently moved in interstate commerce, and there is no requirement that his possession of the firearm have any concrete tie to interstate commerce.</w:t>
      </w:r>
    </w:p>
    <w:p w:rsidR="00032A5B" w:rsidRDefault="00032A5B" w:rsidP="00032A5B"/>
    <w:p w:rsidR="00032A5B" w:rsidRDefault="00032A5B" w:rsidP="00032A5B">
      <w:r>
        <w:t>To uphold the Government's contentions here, we would have to pile inference upon inference in a manner that would bid fair to convert congressional authority under the Commerce Clause to a general police power of the sort retained by the States.   Admittedly, some of our prior cases have taken long steps down that road, giving great deference to congressional action.  The broad language in these opinions has suggested the possibility of additional expansion, but we decline here to proceed any further.  To do so would require us to conclude that the Constitution's enumeration of powers does not presuppose something not enumerated, and that there never will be a distinction between what is truly national and what is truly local.  This we are unwilling to do.</w:t>
      </w:r>
    </w:p>
    <w:p w:rsidR="00032A5B" w:rsidRDefault="00032A5B" w:rsidP="00032A5B"/>
    <w:p w:rsidR="00032A5B" w:rsidRDefault="00032A5B" w:rsidP="00032A5B">
      <w:r>
        <w:t>For the foregoing reasons the judgment of the Court of Appeals is Affirmed.</w:t>
      </w:r>
    </w:p>
    <w:p w:rsidR="00032A5B" w:rsidRDefault="00032A5B" w:rsidP="00032A5B"/>
    <w:p w:rsidR="00032A5B" w:rsidRDefault="00032A5B" w:rsidP="00032A5B"/>
    <w:p w:rsidR="00032A5B" w:rsidRDefault="00032A5B" w:rsidP="00032A5B"/>
    <w:p w:rsidR="00032A5B" w:rsidRDefault="00032A5B" w:rsidP="00032A5B">
      <w:r>
        <w:t>JUSTICE THOMAS, concurring.</w:t>
      </w:r>
    </w:p>
    <w:p w:rsidR="00032A5B" w:rsidRDefault="00032A5B" w:rsidP="00032A5B"/>
    <w:p w:rsidR="00032A5B" w:rsidRDefault="00032A5B" w:rsidP="00032A5B">
      <w:r>
        <w:t xml:space="preserve">The Court today properly concludes that the Commerce Clause does not grant Congress the authority to prohibit gun possession within 1,000 feet of a school, as it attempted to do in the Gun-Free School Zones Act of 1990.  </w:t>
      </w:r>
    </w:p>
    <w:p w:rsidR="00032A5B" w:rsidRDefault="00032A5B" w:rsidP="00032A5B"/>
    <w:p w:rsidR="00032A5B" w:rsidRDefault="00032A5B" w:rsidP="00032A5B">
      <w:r>
        <w:t>At the time the original Constitution was ratified, "commerce" consisted of selling, buying, and bartering, as well as transporting for these purposes. . . . As one would expect, the term "commerce" was used in contradistinction to productive activities such as manufacturing and agriculture. . . .   The Constitution not only uses the word "commerce" in a narrower sense than our case law might suggest, it also does not support the proposition that Congress has authority over all activities that "substantially affect" interstate commerce.  . . . .   Clearly, the Framers could have drafted a Constitution that contained a "substantially affects interstate commerce" clause had that been their objective.</w:t>
      </w:r>
    </w:p>
    <w:p w:rsidR="00032A5B" w:rsidRDefault="00032A5B" w:rsidP="00032A5B"/>
    <w:p w:rsidR="00032A5B" w:rsidRDefault="00032A5B" w:rsidP="00032A5B">
      <w:r>
        <w:t>This extended discussion of the original understanding and our first century and a half of case law does not necessarily require a wholesale abandonment of our more recent opinions.  It simply reveals that our substantial effects test is far removed from both the Constitution and from our early case law and that the Court's opinion should not be viewed as "radical" or another "wrong turn" that must be corrected in the future.  The analysis also suggests that we ought to temper our Commerce Clause jurisprudence. . . .   At an appropriate juncture, I think we must modify our Commerce Clause jurisprudence.  Today, it is easy enough to say that the Clause certainly does not empower Congress to ban gun possession within 1,000 feet of a school.</w:t>
      </w:r>
    </w:p>
    <w:p w:rsidR="00032A5B" w:rsidRDefault="00032A5B" w:rsidP="00032A5B"/>
    <w:p w:rsidR="00032A5B" w:rsidRDefault="00032A5B" w:rsidP="00032A5B">
      <w:r>
        <w:t>JUSTICE BREYER, with whom JUSTICES STEVENS, SOUTER, and GINSBURG join, dissenting.</w:t>
      </w:r>
    </w:p>
    <w:p w:rsidR="00032A5B" w:rsidRDefault="00032A5B" w:rsidP="00032A5B"/>
    <w:p w:rsidR="00032A5B" w:rsidRDefault="00032A5B" w:rsidP="00032A5B">
      <w:r>
        <w:t>The issue in this case is whether the Commerce Clause authorizes Congress to enact a statute that makes it a crime to possess a gun in, or near, a school.  In my view, the statute falls well within the scope of the commerce power as this Court has understood that power over the last half-century. . . .</w:t>
      </w:r>
    </w:p>
    <w:p w:rsidR="00032A5B" w:rsidRDefault="00032A5B" w:rsidP="00032A5B"/>
    <w:p w:rsidR="00032A5B" w:rsidRDefault="00032A5B" w:rsidP="00032A5B">
      <w:r>
        <w:t>In sum, to find this legislation within the scope of the Commerce Clause would permit "Congress . . . to act in terms of economic . . . realities." . . . .   Upholding this legislation would do no more than simply recognize that Congress had a "rational basis" for finding a significant connection between guns in or near schools and (through their effect on education) the interstate and foreign commerce they threaten.   For these reasons, I would reverse the judgment of the Court of Appeals.   Respectfully, I dissent.</w:t>
      </w:r>
      <w:r>
        <w:br w:type="page"/>
      </w:r>
    </w:p>
    <w:p w:rsidR="00032A5B" w:rsidRPr="009C25BB" w:rsidRDefault="00032A5B" w:rsidP="00032A5B">
      <w:pPr>
        <w:ind w:left="1200" w:right="1200"/>
        <w:jc w:val="center"/>
        <w:rPr>
          <w:bCs/>
        </w:rPr>
      </w:pPr>
      <w:r w:rsidRPr="009C25BB">
        <w:rPr>
          <w:bCs/>
        </w:rPr>
        <w:lastRenderedPageBreak/>
        <w:t>COHEN v. CALIFORNIA</w:t>
      </w:r>
    </w:p>
    <w:p w:rsidR="00032A5B" w:rsidRPr="009C25BB" w:rsidRDefault="00032A5B" w:rsidP="00032A5B">
      <w:pPr>
        <w:rPr>
          <w:bCs/>
        </w:rPr>
      </w:pPr>
    </w:p>
    <w:p w:rsidR="00032A5B" w:rsidRPr="009C25BB" w:rsidRDefault="00032A5B" w:rsidP="00032A5B">
      <w:pPr>
        <w:ind w:left="1200" w:right="1200"/>
        <w:jc w:val="center"/>
        <w:rPr>
          <w:bCs/>
        </w:rPr>
      </w:pPr>
      <w:r w:rsidRPr="009C25BB">
        <w:rPr>
          <w:bCs/>
        </w:rPr>
        <w:t>SUPREME COURT OF THE UNITED STATES</w:t>
      </w:r>
    </w:p>
    <w:p w:rsidR="00032A5B" w:rsidRDefault="00032A5B" w:rsidP="00032A5B">
      <w:pPr>
        <w:ind w:left="1200" w:right="1200"/>
        <w:jc w:val="center"/>
        <w:rPr>
          <w:bCs/>
        </w:rPr>
      </w:pPr>
    </w:p>
    <w:p w:rsidR="00032A5B" w:rsidRPr="009C25BB" w:rsidRDefault="00032A5B" w:rsidP="00032A5B">
      <w:pPr>
        <w:ind w:left="1200" w:right="1200"/>
        <w:jc w:val="center"/>
        <w:rPr>
          <w:bCs/>
        </w:rPr>
      </w:pPr>
      <w:r w:rsidRPr="009C25BB">
        <w:rPr>
          <w:bCs/>
        </w:rPr>
        <w:t>403 U.S. 15</w:t>
      </w:r>
    </w:p>
    <w:p w:rsidR="00032A5B" w:rsidRDefault="00032A5B" w:rsidP="00032A5B">
      <w:pPr>
        <w:ind w:left="1200" w:right="1200"/>
        <w:jc w:val="center"/>
        <w:rPr>
          <w:bCs/>
        </w:rPr>
      </w:pPr>
    </w:p>
    <w:p w:rsidR="00032A5B" w:rsidRPr="009C25BB" w:rsidRDefault="00032A5B" w:rsidP="00032A5B">
      <w:pPr>
        <w:ind w:left="1200" w:right="1200"/>
        <w:jc w:val="center"/>
        <w:rPr>
          <w:bCs/>
        </w:rPr>
      </w:pPr>
      <w:r w:rsidRPr="009C25BB">
        <w:rPr>
          <w:bCs/>
        </w:rPr>
        <w:t xml:space="preserve">February 22, 1971, Argued  </w:t>
      </w:r>
    </w:p>
    <w:p w:rsidR="00032A5B" w:rsidRPr="009C25BB" w:rsidRDefault="00032A5B" w:rsidP="00032A5B">
      <w:pPr>
        <w:ind w:left="1200" w:right="1200"/>
        <w:jc w:val="center"/>
        <w:rPr>
          <w:bCs/>
        </w:rPr>
      </w:pPr>
      <w:r w:rsidRPr="009C25BB">
        <w:rPr>
          <w:bCs/>
        </w:rPr>
        <w:t xml:space="preserve">June 7, 1971, Decided </w:t>
      </w:r>
    </w:p>
    <w:p w:rsidR="00032A5B" w:rsidRDefault="00032A5B" w:rsidP="00032A5B">
      <w:pPr>
        <w:rPr>
          <w:bCs/>
        </w:rPr>
      </w:pPr>
    </w:p>
    <w:p w:rsidR="00032A5B" w:rsidRPr="009C25BB" w:rsidRDefault="00032A5B" w:rsidP="00032A5B">
      <w:pPr>
        <w:rPr>
          <w:bCs/>
        </w:rPr>
      </w:pPr>
    </w:p>
    <w:p w:rsidR="00032A5B" w:rsidRDefault="00032A5B" w:rsidP="00032A5B">
      <w:pPr>
        <w:spacing w:before="120"/>
      </w:pPr>
      <w:r w:rsidRPr="00A422E5">
        <w:rPr>
          <w:bCs/>
        </w:rPr>
        <w:t>JUDGES:</w:t>
      </w:r>
      <w:r>
        <w:rPr>
          <w:b/>
          <w:bCs/>
        </w:rPr>
        <w:t xml:space="preserve"> </w:t>
      </w:r>
      <w:r>
        <w:t xml:space="preserve">  Harlan, J., delivered the opinion of the Court, in which Douglas, Brennan, Stewart, and Marshall, JJ., joined.  Blackmun, J., filed a dissenting opinion, in which Burger, C. J., and Black, J., joined, and in which White, J., joined in part.    MR. JUSTICE HARLAN delivered the opinion of the Court.</w:t>
      </w:r>
    </w:p>
    <w:p w:rsidR="00032A5B" w:rsidRDefault="00032A5B" w:rsidP="00032A5B"/>
    <w:p w:rsidR="00032A5B" w:rsidRDefault="00032A5B" w:rsidP="00032A5B">
      <w:pPr>
        <w:spacing w:before="120"/>
      </w:pPr>
      <w:r>
        <w:t>This case may seem at first blush too inconsequential to find its way into our books, but the issue it presents is of no small constitutional significance.</w:t>
      </w:r>
    </w:p>
    <w:p w:rsidR="00032A5B" w:rsidRDefault="00032A5B" w:rsidP="00032A5B">
      <w:pPr>
        <w:spacing w:before="120"/>
      </w:pPr>
      <w:r>
        <w:t>Appellant Paul Robert Cohen was convicted in the Los Angeles Municipal Court of violating that part of California Penal Code § 415 which prohibits "maliciously and willfully disturb[ing] the peace or quiet of any neighborhood or person . . . by . . . offensive conduct . . . ."</w:t>
      </w:r>
      <w:r>
        <w:rPr>
          <w:rStyle w:val="FootnoteReference"/>
        </w:rPr>
        <w:footnoteReference w:id="1"/>
      </w:r>
      <w:r>
        <w:t xml:space="preserve">  He was given 30 days' imprisonment.  The facts upon which his conviction rests are detailed in the opinion of the Court of Appeal of California, Second Appellate District, as follows:</w:t>
      </w:r>
    </w:p>
    <w:p w:rsidR="00032A5B" w:rsidRDefault="00032A5B" w:rsidP="00032A5B">
      <w:pPr>
        <w:spacing w:before="120"/>
      </w:pPr>
      <w:r>
        <w:t>"On April 26, 1968, the defendant was observed in the Los Angeles County Courthouse in the corridor outside of division 20 of the municipal court wearing a jacket bearing the words 'Fuck the Draft' which were plainly visible.  There were women and children present in the corridor. The defendant was arrested. The defendant testified that he wore the jacket knowing that the words were on the jacket as a means of informing the public of the depth of his feelings against the Vietnam War and the draft.</w:t>
      </w:r>
    </w:p>
    <w:p w:rsidR="00032A5B" w:rsidRDefault="00032A5B" w:rsidP="00032A5B">
      <w:pPr>
        <w:spacing w:before="120"/>
      </w:pPr>
      <w:r>
        <w:t>"The defendant did not engage in, nor threaten to engage in, nor did anyone as the result of his conduct in fact commit or threaten to commit any act of violence.  The defendant did not make any loud or unusual noise, nor was there any evidence that he uttered any sound prior to his arrest."</w:t>
      </w:r>
    </w:p>
    <w:p w:rsidR="00032A5B" w:rsidRDefault="00032A5B" w:rsidP="00032A5B">
      <w:pPr>
        <w:spacing w:before="120"/>
      </w:pPr>
      <w:r>
        <w:t xml:space="preserve">In affirming the conviction the Court of Appeal held that "offensive conduct" means "behavior which has a tendency to provoke </w:t>
      </w:r>
      <w:r>
        <w:rPr>
          <w:i/>
          <w:iCs/>
        </w:rPr>
        <w:t>others</w:t>
      </w:r>
      <w:r>
        <w:t xml:space="preserve"> to acts of violence or to in turn disturb the peace," and that the State had proved this element because, on the facts of this case, "it was certainly reasonably foreseeable that such conduct might cause others to rise up to commit a violent act against the person of the defendant or attempt to forcibly remove his jacket."  The California Supreme Court declined review by a divided vote.   We brought the case here, postponing the consideration of the question of our jurisdiction over this appeal to a hearing of the case on the merits.  We now reverse.</w:t>
      </w:r>
    </w:p>
    <w:p w:rsidR="00032A5B" w:rsidRDefault="00032A5B" w:rsidP="00032A5B">
      <w:pPr>
        <w:spacing w:before="120"/>
      </w:pPr>
    </w:p>
    <w:p w:rsidR="00032A5B" w:rsidRDefault="00032A5B" w:rsidP="00032A5B">
      <w:r>
        <w:t>The question of our jurisdiction need not detain us long.  Throughout the proceedings below, Cohen consistently claimed that, as construed to apply to the facts of this case, the statute infringed his rights to freedom of expression guaranteed by the First and Fourteenth Amendments of the Federal Constitution.  That contention has been rejected by the highest California state court in which review could be had.  Accordingly, we are fully satisfied that Cohen has properly invoked our jurisdiction by this appeal.</w:t>
      </w:r>
    </w:p>
    <w:p w:rsidR="00032A5B" w:rsidRDefault="00032A5B" w:rsidP="00032A5B"/>
    <w:p w:rsidR="00032A5B" w:rsidRDefault="00032A5B" w:rsidP="00032A5B">
      <w:pPr>
        <w:spacing w:before="120"/>
      </w:pPr>
      <w:r>
        <w:t>I</w:t>
      </w:r>
    </w:p>
    <w:p w:rsidR="00032A5B" w:rsidRDefault="00032A5B" w:rsidP="00032A5B">
      <w:pPr>
        <w:spacing w:before="120"/>
      </w:pPr>
      <w:r>
        <w:lastRenderedPageBreak/>
        <w:t xml:space="preserve">In order to lay hands on the precise issue which this case involves, it is useful first to canvass various matters which this record does </w:t>
      </w:r>
      <w:r>
        <w:rPr>
          <w:i/>
          <w:iCs/>
        </w:rPr>
        <w:t>not</w:t>
      </w:r>
      <w:r>
        <w:t xml:space="preserve"> present.</w:t>
      </w:r>
    </w:p>
    <w:p w:rsidR="00032A5B" w:rsidRDefault="00032A5B" w:rsidP="00032A5B">
      <w:pPr>
        <w:suppressAutoHyphens/>
        <w:spacing w:before="120"/>
      </w:pPr>
      <w:r>
        <w:t xml:space="preserve">The conviction quite clearly rests upon the asserted offensiveness of the </w:t>
      </w:r>
      <w:r>
        <w:rPr>
          <w:i/>
          <w:iCs/>
        </w:rPr>
        <w:t>words</w:t>
      </w:r>
      <w:r>
        <w:t xml:space="preserve"> Cohen used to convey his message to the public.  The only "conduct" which the State sought to punish is the fact of communication.  Thus, we deal here with a conviction resting solely upon "speech," not upon any separately identifiable conduct which allegedly was intended by Cohen to be perceived by others as expressive of particular views but which, on its face, does not necessarily convey any message and hence arguably could be regulated without effectively repressing Cohen's ability to express himself.  Further, the State certainly lacks power to punish Cohen for the underlying content of the message the inscription conveyed.  At least so long as there is no showing of an intent to incite disobedience to or disruption of the draft, Cohen could not, consistently with the First and Fourteenth Amendments, be punished for asserting the evident position on the inutility or immorality of the draft his jacket reflected. </w:t>
      </w:r>
    </w:p>
    <w:p w:rsidR="00032A5B" w:rsidRDefault="00032A5B" w:rsidP="00032A5B">
      <w:pPr>
        <w:spacing w:before="120"/>
      </w:pPr>
      <w:r>
        <w:t xml:space="preserve">Appellant's conviction, then, rests squarely upon his exercise of the "freedom of speech" protected from arbitrary governmental interference by the Constitution and can be justified, if at all, only as a valid regulation of the manner in which he exercised that freedom, not as a permissible prohibition on the substantive message it conveys.  This does not end the inquiry, of course, for the First and Fourteenth Amendments have never been thought to give absolute protection to every individual to speak whenever or wherever he pleases, or to use any form of address in any circumstances that he chooses.  In this vein, too, however, we think it important to note that several issues typically associated with such problems are not presented here. </w:t>
      </w:r>
    </w:p>
    <w:p w:rsidR="00032A5B" w:rsidRDefault="00032A5B" w:rsidP="00032A5B">
      <w:pPr>
        <w:spacing w:before="120"/>
      </w:pPr>
      <w:r>
        <w:t>In the first place, Cohen was tried under a statute applicable throughout the entire State.  Any attempt to support this conviction on the ground that the statute seeks to preserve an appropriately decorous atmosphere in the courthouse where Cohen was arrested must fail in the absence of any language in the statute that would have put appellant on notice that certain kinds of otherwise permissible speech or conduct would nevertheless, under California law, not be tolerated in certain places.  No fair reading of the phrase "offensive conduct" can be said sufficiently to inform the ordinary person that distinctions between certain locations are thereby created.</w:t>
      </w:r>
      <w:r>
        <w:rPr>
          <w:rStyle w:val="FootnoteReference"/>
        </w:rPr>
        <w:footnoteReference w:id="2"/>
      </w:r>
    </w:p>
    <w:p w:rsidR="00032A5B" w:rsidRDefault="00032A5B" w:rsidP="00032A5B">
      <w:pPr>
        <w:spacing w:before="120"/>
      </w:pPr>
      <w:r>
        <w:t xml:space="preserve">In the second place, as it comes to us, this case cannot be said to fall within those relatively few categories of instances where prior decisions have established the power of government to deal more comprehensively with certain forms of individual expression simply upon a showing that such a form was employed.  This is not, for example, an obscenity case.  Whatever else may be necessary to give rise to the States' broader power to prohibit obscene expression, such expression must be, in some significant way, erotic.  It cannot plausibly be maintained that this vulgar allusion to the Selective Service System would conjure up such psychic stimulation in anyone likely to be confronted with Cohen's crudely defaced jacket. </w:t>
      </w:r>
    </w:p>
    <w:p w:rsidR="00032A5B" w:rsidRDefault="00032A5B" w:rsidP="00032A5B">
      <w:pPr>
        <w:spacing w:before="120"/>
      </w:pPr>
      <w:r>
        <w:t>This Court has also held that the States are free to ban the simple use, without a demonstration of additional justifying circumstances, of so-called "fighting words," those personally abusive epithets which, when addressed to the ordinary citizen, are, as a matter of common knowledge, inherently likely to provoke violent reaction.  While the four-letter word displayed by Cohen in relation to the draft is not uncommonly employed in a personally provocative fashion, in this instance it was clearly not "directed to the person of the hearer. "  No individual actually or likely to be present could reasonably have regarded the words on appellant's jacket as a direct personal insult.  Nor do we have here an instance of the exercise of the State's police power to prevent a speaker from intentionally provoking a given group to hostile reaction.  There is, as noted above, no showing that anyone who saw Cohen was in fact violently aroused or that appellant intended such a result.</w:t>
      </w:r>
    </w:p>
    <w:p w:rsidR="00032A5B" w:rsidRDefault="00032A5B" w:rsidP="00032A5B">
      <w:pPr>
        <w:spacing w:before="120"/>
      </w:pPr>
      <w:r>
        <w:t xml:space="preserve">Finally, in arguments before this Court much has been made of the claim that Cohen's distasteful mode of expression was thrust upon unwilling or unsuspecting viewers, and that the State might therefore legitimately act as it did in order to protect the sensitive from otherwise unavoidable exposure to appellant's crude form of protest.  Of course, the mere presumed presence of unwitting listeners or viewers does not serve automatically to justify curtailing all speech capable of giving offense.  While this Court has recognized that government may properly act in many situations to prohibit intrusion into the privacy of the home of unwelcome views and ideas which cannot be totally banned from the public dialogue, we have at the same time consistently stressed that "we are often 'captives' outside the sanctuary of the home </w:t>
      </w:r>
      <w:r>
        <w:lastRenderedPageBreak/>
        <w:t xml:space="preserve">and subject to objectionable speech."  The ability of government, consonant with the Constitution, to shut off discourse solely to protect others from hearing it is, in other words, dependent upon a showing that substantial privacy interests are being invaded in an essentially intolerable manner.  Any broader view of this authority would effectively empower a majority to silence dissidents simply as a matter of personal predilections. </w:t>
      </w:r>
    </w:p>
    <w:p w:rsidR="00032A5B" w:rsidRDefault="00032A5B" w:rsidP="00032A5B">
      <w:pPr>
        <w:spacing w:before="120"/>
      </w:pPr>
      <w:r>
        <w:t xml:space="preserve">In this regard, persons confronted with Cohen's jacket were in a quite different posture than, say, those subjected to the raucous emissions of sound trucks blaring outside their residences.  Those in the Los Angeles courthouse could effectively avoid further bombardment of their sensibilities simply by averting their eyes.  And, while it may be that one has a more substantial claim to a recognizable privacy interest when walking through a courthouse corridor than, for example, strolling through Central Park, surely it is nothing like the interest in being free from unwanted expression in the confines of one's own home.  Given the subtlety and complexity of the factors involved, if Cohen's "speech" was otherwise entitled to constitutional protection, we do not think the fact that some unwilling "listeners" in a public building may have been briefly exposed to it can serve to justify this breach of the peace conviction where, as here, there was no evidence that persons powerless to avoid appellant's conduct did in fact object to it, and where that portion of the statute upon which Cohen's conviction rests evinces no concern, either on its face or as construed by the California courts, with the special plight of the captive auditor, but, instead, indiscriminately sweeps within its prohibitions all "offensive conduct" that disturbs "any neighborhood or person." </w:t>
      </w:r>
    </w:p>
    <w:p w:rsidR="00032A5B" w:rsidRDefault="00032A5B" w:rsidP="00032A5B">
      <w:pPr>
        <w:spacing w:before="120"/>
      </w:pPr>
    </w:p>
    <w:p w:rsidR="00032A5B" w:rsidRDefault="00032A5B" w:rsidP="00032A5B">
      <w:pPr>
        <w:spacing w:before="120"/>
      </w:pPr>
      <w:r>
        <w:t>II</w:t>
      </w:r>
    </w:p>
    <w:p w:rsidR="00032A5B" w:rsidRDefault="00032A5B" w:rsidP="00032A5B">
      <w:pPr>
        <w:spacing w:before="120"/>
      </w:pPr>
      <w:r>
        <w:t xml:space="preserve">Against this background, the issue flushed by this case stands out in bold relief.  It is whether California can excise, as "offensive conduct," one particular scurrilous epithet from the public discourse, either upon the theory of the court below that its use is inherently likely to cause violent reaction or upon a more general assertion that the States, acting as guardians of public morality, may properly remove this offensive word from the public vocabulary. </w:t>
      </w:r>
    </w:p>
    <w:p w:rsidR="00032A5B" w:rsidRDefault="00032A5B" w:rsidP="00032A5B">
      <w:pPr>
        <w:spacing w:before="120"/>
      </w:pPr>
      <w:r>
        <w:t xml:space="preserve">The rationale of the California court is plainly untenable.  At most it reflects an "undifferentiated fear or apprehension of disturbance [which] is not enough to overcome the right to freedom of expression."  We have been shown no evidence that substantial numbers of citizens are standing ready to strike out physically at whoever may assault their sensibilities with execrations like that uttered by Cohen.  There may be some persons about with such lawless and violent proclivities, but that is an insufficient base upon which to erect, consistently with constitutional values, a governmental power to force persons who wish to ventilate their dissident views into avoiding particular forms of expression.  The argument amounts to little more than the self-defeating proposition that to avoid physical censorship of one who has not sought to provoke such a response by a hypothetical coterie of the violent and lawless, the States may more appropriately effectuate that censorship themselves. </w:t>
      </w:r>
    </w:p>
    <w:p w:rsidR="00032A5B" w:rsidRDefault="00032A5B" w:rsidP="00032A5B">
      <w:pPr>
        <w:spacing w:before="120"/>
      </w:pPr>
      <w:r>
        <w:t>Admittedly, it is not so obvious that the First and Fourteenth Amendments must be taken to disable the States from punishing public utterance of this unseemly expletive in order to maintain what they regard as a suitable level of discourse within the body politic.  We think, however, that examination and reflection will reveal the shortcomings of a contrary viewpoint.</w:t>
      </w:r>
    </w:p>
    <w:p w:rsidR="00032A5B" w:rsidRDefault="00032A5B" w:rsidP="00032A5B">
      <w:pPr>
        <w:spacing w:before="120"/>
      </w:pPr>
      <w:r>
        <w:t xml:space="preserve">At the outset, we cannot overemphasize that, in our judgment, most situations where the State has a justifiable interest in regulating speech will fall within one or more of the various established exceptions, discussed above but not applicable here, to the usual rule that governmental bodies may not prescribe the form or content of individual expression.  Equally important to our conclusion is the constitutional backdrop against which our decision must be made.  The constitutional right of free expression is powerful medicine in a society as diverse and populous as ours.  It is designed and intended to remove governmental restraints from the arena of public discussion, putting the decision as to what views shall be voiced largely into the hands of each of us, in the hope that use of such freedom will ultimately produce a more capable citizenry and more perfect polity and in the belief that no other approach would comport with the premise of individual dignity and choice upon which our political system rests. </w:t>
      </w:r>
    </w:p>
    <w:p w:rsidR="00032A5B" w:rsidRDefault="00032A5B" w:rsidP="00032A5B">
      <w:pPr>
        <w:spacing w:before="120"/>
      </w:pPr>
      <w:r>
        <w:t xml:space="preserve">To many, the immediate consequence of this freedom may often appear to be only verbal tumult, discord, and even offensive utterance. These are, however, within established limits, in truth necessary side effects of the broader enduring values which the process of open debate permits us to achieve.  That the air may at times seem filled with verbal cacophony is, in this sense not a sign of weakness but of strength.  We cannot lose sight of the fact that, in what otherwise might seem a trifling and annoying instance of individual distasteful abuse of a privilege, these fundamental societal values are truly implicated.  That is why "wholly neutral futilities . . . come under the protection of free speech </w:t>
      </w:r>
      <w:r>
        <w:lastRenderedPageBreak/>
        <w:t>as fully as do Keats' poems or Donne's sermons," and why "so long as the means are peaceful, the communication need not meet standards of acceptability."</w:t>
      </w:r>
    </w:p>
    <w:p w:rsidR="00032A5B" w:rsidRDefault="00032A5B" w:rsidP="00032A5B">
      <w:pPr>
        <w:suppressAutoHyphens/>
        <w:spacing w:before="120"/>
      </w:pPr>
      <w:r>
        <w:t xml:space="preserve">Against this perception of the constitutional policies involved, we discern certain more particularized considerations that peculiarly call for reversal of this conviction.  First, the principle contended for by the State seems inherently boundless.  How is one to distinguish this from any other offensive word?  Surely the State has no right to cleanse public debate to the point where it is grammatically palatable to the most squeamish among us.  Yet no readily ascertainable general principle exists for stopping short of that result were we to affirm the judgment below.  For, while the particular four-letter word being litigated here is perhaps more distasteful than most others of its genre, it is nevertheless often true that one man's vulgarity is another's lyric.  Indeed, we think it is largely because governmental officials cannot make principled distinctions in this area that the Constitution leaves matters of taste and style so largely to the individual. </w:t>
      </w:r>
    </w:p>
    <w:p w:rsidR="00032A5B" w:rsidRDefault="00032A5B" w:rsidP="00032A5B">
      <w:pPr>
        <w:spacing w:before="120"/>
      </w:pPr>
      <w:r>
        <w:t xml:space="preserve">Additionally, we cannot overlook the fact, because it is well illustrated by the episode involved here, that much linguistic expression serves a dual communicative function: it conveys not only ideas capable of relatively precise, detached explication, but otherwise inexpressible emotions as well.  In fact, words are often chosen as much for their emotive as their cognitive force.  We cannot sanction the view that the Constitution, while solicitous of the cognitive content of individual speech, has little or no regard for that emotive function which, practically speaking, may often be the more important element of the overall message sought to be communicated. . . . . </w:t>
      </w:r>
    </w:p>
    <w:p w:rsidR="00032A5B" w:rsidRDefault="00032A5B" w:rsidP="00032A5B">
      <w:pPr>
        <w:spacing w:before="120"/>
      </w:pPr>
      <w:r>
        <w:t xml:space="preserve">Finally, and in the same vein, we cannot indulge the facile assumption that one can forbid particular words without also running a substantial risk of suppressing ideas in the process.  Indeed, governments might soon seize upon the censorship of particular words as a convenient guise for banning the expression of unpopular views.  We have been able, as noted above, to discern little social benefit that might result from running the risk of opening the door to such grave results. </w:t>
      </w:r>
    </w:p>
    <w:p w:rsidR="00032A5B" w:rsidRDefault="00032A5B" w:rsidP="00032A5B">
      <w:pPr>
        <w:spacing w:before="120"/>
      </w:pPr>
      <w:r>
        <w:t>It is, in sum, our judgment that, absent a more particularized and compelling reason for its actions, the State may not, consistently with the First and Fourteenth Amendments, make the simple public display here involved of this single four-letter expletive a criminal offense.  Because that is the only arguably sustainable rationale for the conviction here at issue, the judgment below must be</w:t>
      </w:r>
    </w:p>
    <w:p w:rsidR="00032A5B" w:rsidRDefault="00032A5B" w:rsidP="00032A5B">
      <w:pPr>
        <w:spacing w:before="120"/>
      </w:pPr>
      <w:r>
        <w:rPr>
          <w:i/>
          <w:iCs/>
        </w:rPr>
        <w:t>Reversed</w:t>
      </w:r>
      <w:r>
        <w:t xml:space="preserve">.  </w:t>
      </w:r>
    </w:p>
    <w:p w:rsidR="00032A5B" w:rsidRDefault="00032A5B" w:rsidP="00032A5B">
      <w:pPr>
        <w:spacing w:before="120"/>
        <w:rPr>
          <w:b/>
          <w:bCs/>
        </w:rPr>
      </w:pPr>
    </w:p>
    <w:p w:rsidR="00032A5B" w:rsidRDefault="00032A5B" w:rsidP="00032A5B">
      <w:pPr>
        <w:spacing w:before="120"/>
        <w:rPr>
          <w:b/>
          <w:bCs/>
        </w:rPr>
      </w:pPr>
      <w:r>
        <w:rPr>
          <w:b/>
          <w:bCs/>
        </w:rPr>
        <w:t>DISSENT</w:t>
      </w:r>
    </w:p>
    <w:p w:rsidR="00032A5B" w:rsidRDefault="00032A5B" w:rsidP="00032A5B">
      <w:pPr>
        <w:spacing w:before="120"/>
      </w:pPr>
      <w:r>
        <w:t>MR. JUSTICE BLACKMUN, with whom THE CHIEF JUSTICE and MR. JUSTICE BLACK join.</w:t>
      </w:r>
    </w:p>
    <w:p w:rsidR="00032A5B" w:rsidRDefault="00032A5B" w:rsidP="00032A5B">
      <w:pPr>
        <w:spacing w:before="120"/>
      </w:pPr>
      <w:r>
        <w:t>I dissent, and I do so for two reasons:</w:t>
      </w:r>
    </w:p>
    <w:p w:rsidR="00032A5B" w:rsidRDefault="00032A5B" w:rsidP="00032A5B">
      <w:pPr>
        <w:spacing w:before="120"/>
      </w:pPr>
      <w:r>
        <w:t xml:space="preserve">1. Cohen's absurd and immature antic, in my view, was mainly conduct and little speech. . . .   The California Court of Appeal appears so to have described it, and I cannot characterize it otherwise.  Further, the case appears to me to be well within the sphere of </w:t>
      </w:r>
      <w:r>
        <w:rPr>
          <w:i/>
          <w:iCs/>
        </w:rPr>
        <w:t>Chaplinsky</w:t>
      </w:r>
      <w:r>
        <w:t xml:space="preserve"> v. </w:t>
      </w:r>
      <w:r>
        <w:rPr>
          <w:i/>
          <w:iCs/>
        </w:rPr>
        <w:t>New Hampshire</w:t>
      </w:r>
      <w:r>
        <w:t>, 315 U.S. 568 (1942), where Mr. Justice Murphy, a known champion of First Amendment freedoms, wrote for a unanimous bench.  As a consequence, this Court's agonizing over First Amendment values seems misplaced and unnecessary.</w:t>
      </w:r>
    </w:p>
    <w:p w:rsidR="00032A5B" w:rsidRDefault="00032A5B" w:rsidP="00032A5B">
      <w:pPr>
        <w:spacing w:before="120"/>
      </w:pPr>
      <w:r>
        <w:t>2.  [omitted]</w:t>
      </w:r>
    </w:p>
    <w:p w:rsidR="00032A5B" w:rsidRDefault="00032A5B" w:rsidP="00032A5B"/>
    <w:p w:rsidR="00032A5B" w:rsidRDefault="00032A5B" w:rsidP="00032A5B">
      <w:pPr>
        <w:rPr>
          <w:sz w:val="28"/>
          <w:szCs w:val="28"/>
        </w:rPr>
      </w:pPr>
      <w:r>
        <w:rPr>
          <w:sz w:val="28"/>
          <w:szCs w:val="28"/>
        </w:rPr>
        <w:br w:type="page"/>
      </w:r>
    </w:p>
    <w:p w:rsidR="00032A5B" w:rsidRPr="00922DE2" w:rsidRDefault="00032A5B" w:rsidP="00032A5B">
      <w:pPr>
        <w:jc w:val="both"/>
        <w:rPr>
          <w:sz w:val="28"/>
          <w:szCs w:val="28"/>
        </w:rPr>
      </w:pPr>
      <w:r>
        <w:rPr>
          <w:sz w:val="28"/>
          <w:szCs w:val="28"/>
        </w:rPr>
        <w:lastRenderedPageBreak/>
        <w:t>I</w:t>
      </w:r>
      <w:r w:rsidRPr="00922DE2">
        <w:rPr>
          <w:sz w:val="28"/>
          <w:szCs w:val="28"/>
        </w:rPr>
        <w:t>II.</w:t>
      </w:r>
      <w:r w:rsidRPr="00922DE2">
        <w:rPr>
          <w:sz w:val="28"/>
          <w:szCs w:val="28"/>
        </w:rPr>
        <w:tab/>
        <w:t>Intentional Torts</w:t>
      </w:r>
    </w:p>
    <w:p w:rsidR="00032A5B" w:rsidRPr="00B0274B" w:rsidRDefault="00032A5B" w:rsidP="00032A5B">
      <w:pPr>
        <w:ind w:left="1200" w:right="1200"/>
        <w:jc w:val="center"/>
        <w:rPr>
          <w:bCs/>
          <w:color w:val="000000" w:themeColor="text1"/>
        </w:rPr>
      </w:pPr>
      <w:r>
        <w:rPr>
          <w:sz w:val="32"/>
        </w:rPr>
        <w:br w:type="page"/>
      </w:r>
      <w:r w:rsidRPr="00B0274B">
        <w:rPr>
          <w:bCs/>
          <w:color w:val="000000" w:themeColor="text1"/>
        </w:rPr>
        <w:lastRenderedPageBreak/>
        <w:t>WAL-MART STORES, INC., Appellant, v.</w:t>
      </w:r>
      <w:r w:rsidR="004862C6">
        <w:rPr>
          <w:bCs/>
          <w:color w:val="000000" w:themeColor="text1"/>
        </w:rPr>
        <w:t xml:space="preserve"> </w:t>
      </w:r>
      <w:r w:rsidRPr="00B0274B">
        <w:rPr>
          <w:bCs/>
          <w:color w:val="000000" w:themeColor="text1"/>
        </w:rPr>
        <w:t>KARL W. COCKRELL, Appellee.</w:t>
      </w:r>
    </w:p>
    <w:p w:rsidR="00032A5B" w:rsidRDefault="00032A5B" w:rsidP="00032A5B">
      <w:pPr>
        <w:rPr>
          <w:bCs/>
          <w:color w:val="000000" w:themeColor="text1"/>
        </w:rPr>
      </w:pPr>
    </w:p>
    <w:p w:rsidR="00032A5B" w:rsidRPr="00B0274B" w:rsidRDefault="00EC6EEB" w:rsidP="00032A5B">
      <w:pPr>
        <w:ind w:left="1200" w:right="1200"/>
        <w:jc w:val="center"/>
        <w:rPr>
          <w:bCs/>
          <w:color w:val="000000" w:themeColor="text1"/>
        </w:rPr>
      </w:pPr>
      <w:r w:rsidRPr="00B0274B">
        <w:rPr>
          <w:bCs/>
          <w:color w:val="000000" w:themeColor="text1"/>
        </w:rPr>
        <w:t xml:space="preserve">Court </w:t>
      </w:r>
      <w:r>
        <w:rPr>
          <w:bCs/>
          <w:color w:val="000000" w:themeColor="text1"/>
        </w:rPr>
        <w:t>o</w:t>
      </w:r>
      <w:r w:rsidRPr="00B0274B">
        <w:rPr>
          <w:bCs/>
          <w:color w:val="000000" w:themeColor="text1"/>
        </w:rPr>
        <w:t xml:space="preserve">f Appeals </w:t>
      </w:r>
      <w:r>
        <w:rPr>
          <w:bCs/>
          <w:color w:val="000000" w:themeColor="text1"/>
        </w:rPr>
        <w:t>o</w:t>
      </w:r>
      <w:r w:rsidRPr="00B0274B">
        <w:rPr>
          <w:bCs/>
          <w:color w:val="000000" w:themeColor="text1"/>
        </w:rPr>
        <w:t>f Texas, Thirteenth District, Corpus Christi</w:t>
      </w:r>
    </w:p>
    <w:p w:rsidR="00032A5B" w:rsidRPr="00B0274B" w:rsidRDefault="00032A5B" w:rsidP="00032A5B">
      <w:pPr>
        <w:rPr>
          <w:bCs/>
          <w:color w:val="000000" w:themeColor="text1"/>
        </w:rPr>
      </w:pPr>
    </w:p>
    <w:p w:rsidR="00032A5B" w:rsidRPr="00B0274B" w:rsidRDefault="00032A5B" w:rsidP="00032A5B">
      <w:pPr>
        <w:ind w:left="1200" w:right="1200"/>
        <w:jc w:val="center"/>
        <w:rPr>
          <w:bCs/>
          <w:color w:val="000000" w:themeColor="text1"/>
        </w:rPr>
      </w:pPr>
      <w:r w:rsidRPr="00B0274B">
        <w:rPr>
          <w:bCs/>
          <w:color w:val="000000" w:themeColor="text1"/>
        </w:rPr>
        <w:t>61 S.W.3d 774</w:t>
      </w:r>
    </w:p>
    <w:p w:rsidR="00032A5B" w:rsidRPr="00B0274B" w:rsidRDefault="00032A5B" w:rsidP="00032A5B">
      <w:pPr>
        <w:rPr>
          <w:bCs/>
          <w:color w:val="000000" w:themeColor="text1"/>
        </w:rPr>
      </w:pPr>
    </w:p>
    <w:p w:rsidR="00032A5B" w:rsidRPr="00B0274B" w:rsidRDefault="00032A5B" w:rsidP="00032A5B">
      <w:pPr>
        <w:rPr>
          <w:bCs/>
          <w:color w:val="000000" w:themeColor="text1"/>
        </w:rPr>
      </w:pPr>
    </w:p>
    <w:p w:rsidR="00032A5B" w:rsidRPr="00B0274B" w:rsidRDefault="00032A5B" w:rsidP="00032A5B">
      <w:pPr>
        <w:ind w:left="1200" w:right="1200"/>
        <w:jc w:val="center"/>
        <w:rPr>
          <w:bCs/>
          <w:color w:val="000000" w:themeColor="text1"/>
        </w:rPr>
      </w:pPr>
      <w:r>
        <w:rPr>
          <w:bCs/>
          <w:color w:val="000000" w:themeColor="text1"/>
        </w:rPr>
        <w:t>November 29, 2001, Delivered</w:t>
      </w:r>
    </w:p>
    <w:p w:rsidR="00032A5B" w:rsidRDefault="00032A5B" w:rsidP="00032A5B">
      <w:pPr>
        <w:rPr>
          <w:bCs/>
          <w:color w:val="000000" w:themeColor="text1"/>
        </w:rPr>
      </w:pPr>
    </w:p>
    <w:p w:rsidR="00032A5B" w:rsidRPr="00B0274B" w:rsidRDefault="00032A5B" w:rsidP="00032A5B">
      <w:pPr>
        <w:rPr>
          <w:bCs/>
          <w:color w:val="000000" w:themeColor="text1"/>
        </w:rPr>
      </w:pPr>
    </w:p>
    <w:p w:rsidR="00032A5B" w:rsidRPr="00B0274B" w:rsidRDefault="00032A5B" w:rsidP="00032A5B">
      <w:pPr>
        <w:rPr>
          <w:color w:val="000000" w:themeColor="text1"/>
        </w:rPr>
      </w:pPr>
      <w:r w:rsidRPr="00B0274B">
        <w:rPr>
          <w:bCs/>
          <w:color w:val="000000" w:themeColor="text1"/>
        </w:rPr>
        <w:t xml:space="preserve">PRIOR HISTORY: </w:t>
      </w:r>
      <w:r w:rsidRPr="00B0274B">
        <w:rPr>
          <w:color w:val="000000" w:themeColor="text1"/>
        </w:rPr>
        <w:t xml:space="preserve"> </w:t>
      </w:r>
      <w:r>
        <w:rPr>
          <w:color w:val="000000" w:themeColor="text1"/>
        </w:rPr>
        <w:t>O</w:t>
      </w:r>
      <w:r w:rsidRPr="00B0274B">
        <w:rPr>
          <w:color w:val="000000" w:themeColor="text1"/>
        </w:rPr>
        <w:t xml:space="preserve">n appeal from the 23rd District Court of Matagorda County, Texas.  </w:t>
      </w:r>
    </w:p>
    <w:p w:rsidR="00032A5B" w:rsidRPr="00B0274B" w:rsidRDefault="00032A5B" w:rsidP="00032A5B">
      <w:pPr>
        <w:rPr>
          <w:color w:val="000000" w:themeColor="text1"/>
        </w:rPr>
      </w:pPr>
    </w:p>
    <w:p w:rsidR="00032A5B" w:rsidRDefault="00032A5B" w:rsidP="00032A5B">
      <w:r w:rsidRPr="00B0274B">
        <w:rPr>
          <w:bCs/>
        </w:rPr>
        <w:t xml:space="preserve">JUDGES:  </w:t>
      </w:r>
      <w:r>
        <w:t xml:space="preserve">Before Chief Justice Valdez and Justices Dorsey and Rodriguez.  Opinion by Justice Dorsey.  </w:t>
      </w:r>
    </w:p>
    <w:p w:rsidR="00032A5B" w:rsidRDefault="00032A5B" w:rsidP="00032A5B">
      <w:pPr>
        <w:spacing w:before="120"/>
      </w:pPr>
    </w:p>
    <w:p w:rsidR="00032A5B" w:rsidRDefault="00032A5B" w:rsidP="00032A5B">
      <w:pPr>
        <w:spacing w:before="120"/>
      </w:pPr>
      <w:r>
        <w:t xml:space="preserve">Wal-Mart Stores, Inc., appeals from a judgment, following a jury verdict, finding that it had </w:t>
      </w:r>
      <w:r w:rsidR="00713FF4">
        <w:t xml:space="preserve">. . . </w:t>
      </w:r>
      <w:r>
        <w:t>falsely imprisoned a suspected shoplifter, Karl Cockrell. Based upon these findings the jury awarded Cockrell $ 300,000 for past mental anguish. The question raised on appeal is whether the evidence is legally and factually sufficient to support the verdict. We affirm.</w:t>
      </w:r>
    </w:p>
    <w:p w:rsidR="00032A5B" w:rsidRDefault="00032A5B" w:rsidP="00032A5B"/>
    <w:p w:rsidR="00032A5B" w:rsidRPr="00B0274B" w:rsidRDefault="00032A5B" w:rsidP="00032A5B">
      <w:r w:rsidRPr="00B0274B">
        <w:rPr>
          <w:bCs/>
        </w:rPr>
        <w:t>I. FACTS</w:t>
      </w:r>
    </w:p>
    <w:p w:rsidR="00032A5B" w:rsidRDefault="00032A5B" w:rsidP="00032A5B">
      <w:pPr>
        <w:spacing w:before="120"/>
      </w:pPr>
      <w:r>
        <w:t>On November 6, 1996, Karl Cockrell and his parents went to the layaway department at a Wal-Mart store. Cockrell stayed for about five minutes and decided to leave. As he was going out the front door Raymond Navarro, a loss-prevention officer, stopped him and requested that Cockrell follow him to the manager's office. Once in the office Navarro told him to pull his pants down. Cockrell put his hands between his shorts and underwear, pulled them out, and shook them. Nothing fell out. Next Navarro told him to take off his shirt. Cockrell raised his shirt, revealing a large bandage which covered a surgical wound on the right side of his abdomen. Cockrell had recently had a liver transplant. Navarro asked him to take off the bandage, despite Cockrell's explanation that the bandage maintained a sterile environment around his surgical wound. On Navarro's insistence Cockrell took down the bandage, revealing the wound. Jay Garrison and Nancy Suchomel, both Wal-Mart employees, were in the office when Cockrell lifted his shirt. Afterwards Navarro apologized and let Cockrell go.</w:t>
      </w:r>
    </w:p>
    <w:p w:rsidR="00032A5B" w:rsidRDefault="00032A5B" w:rsidP="00032A5B"/>
    <w:p w:rsidR="00032A5B" w:rsidRPr="00B0274B" w:rsidRDefault="00032A5B" w:rsidP="00032A5B">
      <w:r w:rsidRPr="00B0274B">
        <w:rPr>
          <w:bCs/>
        </w:rPr>
        <w:t>II. DISCUSSION</w:t>
      </w:r>
    </w:p>
    <w:p w:rsidR="00032A5B" w:rsidRDefault="00032A5B" w:rsidP="00032A5B">
      <w:pPr>
        <w:rPr>
          <w:b/>
          <w:bCs/>
        </w:rPr>
      </w:pPr>
    </w:p>
    <w:p w:rsidR="00032A5B" w:rsidRPr="00B0274B" w:rsidRDefault="00032A5B" w:rsidP="00032A5B">
      <w:r w:rsidRPr="00B0274B">
        <w:rPr>
          <w:bCs/>
        </w:rPr>
        <w:t>A. FALSE IMPRISONMENT</w:t>
      </w:r>
    </w:p>
    <w:p w:rsidR="00032A5B" w:rsidRDefault="00032A5B" w:rsidP="00032A5B">
      <w:pPr>
        <w:spacing w:before="120"/>
      </w:pPr>
      <w:r>
        <w:t>The elements of false imprisonment are: (1) a willful detention; (2) performed without consent; and (3) without the authority of law. A person may falsely imprison another by acts alone or by words alone, or by both, operating on the person's will. In a false-imprisonment case if the alleged detention was performed with the authority of law then no false imprisonment occurred. The plaintiff must prove the absence of authority in order to establish the third element of a false-imprisonment cause of action.</w:t>
      </w:r>
    </w:p>
    <w:p w:rsidR="00032A5B" w:rsidRDefault="00032A5B" w:rsidP="00032A5B">
      <w:pPr>
        <w:spacing w:before="120"/>
      </w:pPr>
      <w:r>
        <w:t xml:space="preserve">A case which helps to decide this issue is </w:t>
      </w:r>
      <w:r>
        <w:rPr>
          <w:i/>
          <w:iCs/>
        </w:rPr>
        <w:t>H.E. Butt Grocery Co. v. Saldivar</w:t>
      </w:r>
      <w:r>
        <w:t>, 752 S.W.2d 701 (Tex. App.-Corpus Christi 1988, no writ). In that case Saldivar was shopping at an H.E.B. store when a clerk told Isabel Lopez, an assistant manager, that "a lady" had taken a pair of sunglasses and removed the sales tag. Lopez did not see Saldivar take the sunglasses. As Saldivar walked outside the store, an armed security guard stopped her, accused her of theft, and told her to come to a back room with him. At that point Lopez approached her and displayed a sales tag she had found which she claimed Saldivar had removed from the sunglasses. The security guard guided Saldivar back into the front of the store where she remained for several minutes. She was released after the manager determined that she had not stolen the sunglasses.</w:t>
      </w:r>
    </w:p>
    <w:p w:rsidR="003A3780" w:rsidRPr="004862C6" w:rsidRDefault="00032A5B" w:rsidP="004862C6">
      <w:pPr>
        <w:spacing w:before="120"/>
      </w:pPr>
      <w:r>
        <w:t>Saldivar sued H.E.B. for false imprisonment. At trial, she testified that after she and the security guard entered the store she did not leave because she "didn't feel like [she] could." She stated that she never went near the sunglasses display. A jury returned a verdict in her favor. We affirmed, finding that the facts supported a willful detention without consent and that a rational jury could have found that H.E.B. did not "reasonably believe" a theft had occurred and therefore lacked authority to detain her.</w:t>
      </w:r>
    </w:p>
    <w:p w:rsidR="00032A5B" w:rsidRPr="00B0274B" w:rsidRDefault="00032A5B" w:rsidP="00032A5B">
      <w:r w:rsidRPr="00B0274B">
        <w:rPr>
          <w:bCs/>
          <w:i/>
          <w:iCs/>
        </w:rPr>
        <w:lastRenderedPageBreak/>
        <w:t>Analysis</w:t>
      </w:r>
    </w:p>
    <w:p w:rsidR="00032A5B" w:rsidRDefault="00032A5B" w:rsidP="00032A5B">
      <w:pPr>
        <w:spacing w:before="120"/>
      </w:pPr>
      <w:r>
        <w:t>1. Willful Detention and Consent</w:t>
      </w:r>
    </w:p>
    <w:p w:rsidR="00032A5B" w:rsidRDefault="00032A5B" w:rsidP="00032A5B">
      <w:pPr>
        <w:spacing w:before="120"/>
      </w:pPr>
      <w:r>
        <w:t>Here Ray Navarro, the loss-prevention officer, testified that Cockrell was in his custody at the point when he escorted him to the office. When Cockrell's counsel asked Navarro, "Was it your decision as to when he [Cockrell] could leave?" he replied, "I guess." Navarro testified that he probably would have let Cockrell leave after seeing that he did not have anything under his shirt.</w:t>
      </w:r>
    </w:p>
    <w:p w:rsidR="00032A5B" w:rsidRDefault="00032A5B" w:rsidP="00032A5B">
      <w:pPr>
        <w:spacing w:before="120"/>
      </w:pPr>
      <w:r>
        <w:t>Cockrell testified that he was not free to leave when Navarro stopped him and that Navarro was not going to let him go. He also testified that Navarro and two other Wal-Mart employees accompanied him to the office. When counsel asked Cockrell why he did not leave the office, he replied, "Because the impression I was getting from him, I wasn't going no place."</w:t>
      </w:r>
    </w:p>
    <w:p w:rsidR="00032A5B" w:rsidRDefault="00032A5B" w:rsidP="00032A5B">
      <w:pPr>
        <w:spacing w:before="120"/>
      </w:pPr>
      <w:r>
        <w:t>We conclude that these facts are sufficient to support the jury's finding that Cockrell was willfully detained without his consent.</w:t>
      </w:r>
    </w:p>
    <w:p w:rsidR="00032A5B" w:rsidRDefault="00032A5B" w:rsidP="00032A5B">
      <w:r>
        <w:t xml:space="preserve"> </w:t>
      </w:r>
    </w:p>
    <w:p w:rsidR="00032A5B" w:rsidRDefault="00032A5B" w:rsidP="00032A5B">
      <w:r>
        <w:t>2. Authority of Law.</w:t>
      </w:r>
    </w:p>
    <w:p w:rsidR="00032A5B" w:rsidRDefault="00032A5B" w:rsidP="00032A5B">
      <w:pPr>
        <w:spacing w:before="120"/>
      </w:pPr>
      <w:r>
        <w:t>Question One asked the jury whether Wal-Mart falsely imprisoned Karl Cockrell. "Falsely imprison" was defined to mean "willfully detaining another without legal justification. . . ." The court instructed the jury on the "shopkeeper's privilege." This instruction stated: "when a person reasonably believes that another has stolen or is attempting to steal property, that person has legal justification to detain the other in a reasonable manner and for a reasonable time to investigate ownership of the property." Thus the jury could only find false imprisonment if it found no justification for Wal-Mart's actions.</w:t>
      </w:r>
    </w:p>
    <w:p w:rsidR="00032A5B" w:rsidRDefault="00032A5B" w:rsidP="00032A5B"/>
    <w:p w:rsidR="00032A5B" w:rsidRPr="00B0274B" w:rsidRDefault="00032A5B" w:rsidP="00032A5B">
      <w:r w:rsidRPr="00B0274B">
        <w:rPr>
          <w:bCs/>
        </w:rPr>
        <w:t>A. Reasonable Belief</w:t>
      </w:r>
    </w:p>
    <w:p w:rsidR="00032A5B" w:rsidRDefault="00032A5B" w:rsidP="00032A5B">
      <w:pPr>
        <w:spacing w:before="120"/>
      </w:pPr>
      <w:r>
        <w:t>Neither Raymond Navarro nor any other store employee saw Cockrell steal merchandise. However Navarro claimed he had two reasons to suspect Cockrell of shoplifting. First he said that Cockrell was acting suspiciously, because he saw him in the women's department standing very close to a rack of clothes and looking around. Later he saw Cockrell looking around and walking slowly by the cigarette aisle and then "pass out of the store." Second he saw a little "bulge" under Cockrell's shirt.</w:t>
      </w:r>
    </w:p>
    <w:p w:rsidR="00032A5B" w:rsidRDefault="00032A5B" w:rsidP="00032A5B">
      <w:pPr>
        <w:spacing w:before="120"/>
      </w:pPr>
      <w:r>
        <w:t>Cockrell testified that he had done "nothing" and that there was "no way" a person could see anything under his shirt. We conclude that a rational jury could have found that Navarro did not "reasonably believe" a theft had occurred and therefore lacked authority to detain Cockrell.</w:t>
      </w:r>
    </w:p>
    <w:p w:rsidR="00032A5B" w:rsidRDefault="00032A5B" w:rsidP="00032A5B">
      <w:r>
        <w:t xml:space="preserve"> </w:t>
      </w:r>
    </w:p>
    <w:p w:rsidR="00032A5B" w:rsidRDefault="00032A5B" w:rsidP="00032A5B">
      <w:r>
        <w:t>B. Reasonable Manner</w:t>
      </w:r>
    </w:p>
    <w:p w:rsidR="00032A5B" w:rsidRDefault="00032A5B" w:rsidP="00032A5B">
      <w:pPr>
        <w:spacing w:before="120"/>
      </w:pPr>
      <w:r>
        <w:t xml:space="preserve">The extent to which Wal-Mart searched Cockrell compels us to address the reasonable manner of the detention. The "shopkeeper's privilege" expressly grants an employee the authority of law to detain a customer to investigate the ownership of property in a </w:t>
      </w:r>
      <w:r>
        <w:rPr>
          <w:i/>
          <w:iCs/>
        </w:rPr>
        <w:t>reasonable manner</w:t>
      </w:r>
      <w:r>
        <w:t>.  TEX. CIV. PRAC. &amp; REM. CODE ANN. § 124.001.</w:t>
      </w:r>
    </w:p>
    <w:p w:rsidR="00032A5B" w:rsidRDefault="00032A5B" w:rsidP="00032A5B">
      <w:pPr>
        <w:spacing w:before="120"/>
      </w:pPr>
      <w:r>
        <w:t>At least one appellate court has stated that when a store employee has probable cause to arrest a person for shoplifting, the employee may do so and make a "contemporaneous search" of the person and the objects within that person's control. . . .  We therefore hold that when a store employee has probable cause to arrest a person for shoplifting, the employee may do so and make a contemporaneous search of the person and objects within that person's immediate control.  The contemporaneous search is limited to instances in which a search of the body is reasonably necessary to investigate ownership of property believed stolen. Accordingly Navarro's contemporaneous search was unreasonable in scope, because he had no probable cause to believe that Cockrell had hidden any merchandise under the bandage. Removal of the bandage compromised the sterile environment surrounding the wound. Having found the evidence sufficient with respect to each of the essential elements of false imprisonment we overrule issue one.</w:t>
      </w:r>
    </w:p>
    <w:p w:rsidR="00032A5B" w:rsidRDefault="00032A5B" w:rsidP="00032A5B"/>
    <w:p w:rsidR="00713FF4" w:rsidRDefault="00713FF4" w:rsidP="00032A5B">
      <w:pPr>
        <w:rPr>
          <w:bCs/>
        </w:rPr>
      </w:pPr>
    </w:p>
    <w:p w:rsidR="00032A5B" w:rsidRPr="00B0274B" w:rsidRDefault="00032A5B" w:rsidP="00032A5B">
      <w:r w:rsidRPr="00B0274B">
        <w:rPr>
          <w:bCs/>
        </w:rPr>
        <w:t>B. ASSAULT</w:t>
      </w:r>
    </w:p>
    <w:p w:rsidR="00032A5B" w:rsidRDefault="00713FF4" w:rsidP="00032A5B">
      <w:pPr>
        <w:spacing w:before="120"/>
      </w:pPr>
      <w:r>
        <w:t xml:space="preserve">[issue and discussion deleted] </w:t>
      </w:r>
    </w:p>
    <w:p w:rsidR="00713FF4" w:rsidRDefault="00713FF4" w:rsidP="00032A5B">
      <w:pPr>
        <w:spacing w:before="120"/>
      </w:pPr>
    </w:p>
    <w:p w:rsidR="003A3780" w:rsidRDefault="003A3780" w:rsidP="00032A5B">
      <w:pPr>
        <w:rPr>
          <w:bCs/>
        </w:rPr>
      </w:pPr>
    </w:p>
    <w:p w:rsidR="00032A5B" w:rsidRPr="00B0274B" w:rsidRDefault="00032A5B" w:rsidP="00032A5B">
      <w:r w:rsidRPr="00B0274B">
        <w:rPr>
          <w:bCs/>
        </w:rPr>
        <w:t>C. Mental Anguish.</w:t>
      </w:r>
    </w:p>
    <w:p w:rsidR="00032A5B" w:rsidRDefault="00032A5B" w:rsidP="00032A5B">
      <w:pPr>
        <w:spacing w:before="120"/>
      </w:pPr>
      <w:r>
        <w:t xml:space="preserve">By issue three Wal-Mart asserts that there is no evidence to support the $ 300,000 award for past mental anguish. Alternatively Wal-Mart argues that the award is against the great weight and preponderance of the evidence. We conclude that there is evidence to support the award. . . . </w:t>
      </w:r>
    </w:p>
    <w:p w:rsidR="00032A5B" w:rsidRDefault="00032A5B" w:rsidP="00032A5B">
      <w:pPr>
        <w:spacing w:before="120"/>
      </w:pPr>
      <w:r>
        <w:t xml:space="preserve">Evidence of Cockrell's mental anguish comes largely from the following testimony: Counsel asked Cockrell to describe his demeanor when he took down his bandage in the manager's office. He stated that Navarro: </w:t>
      </w:r>
    </w:p>
    <w:p w:rsidR="00032A5B" w:rsidRDefault="00032A5B" w:rsidP="00032A5B"/>
    <w:p w:rsidR="00032A5B" w:rsidRDefault="00032A5B" w:rsidP="00032A5B">
      <w:pPr>
        <w:ind w:left="600" w:right="600"/>
      </w:pPr>
      <w:r>
        <w:rPr>
          <w:sz w:val="16"/>
          <w:szCs w:val="16"/>
        </w:rPr>
        <w:t>made me feel like I was scum, like . . . I was no part of society, that I had no say-so in the matter, that-just made me feel like a little kid on the block, like the bully beating the kid up and saying, "Well, I didn't catch you with nothing; but I'm going to humiliate him, twist a knife a little bit more into them."</w:t>
      </w:r>
    </w:p>
    <w:p w:rsidR="00032A5B" w:rsidRDefault="00032A5B" w:rsidP="00032A5B"/>
    <w:p w:rsidR="00032A5B" w:rsidRDefault="00032A5B" w:rsidP="00032A5B">
      <w:r>
        <w:t>When counsel asked Cockrell how he felt when people looked at the scar he said, "Humiliated. . . . Your dignity has been stripped, been raped. All your rights have been-might as well have been taken away at that time because I had no rights back there. . . . Even after it was over with, I felt like I had no rights."</w:t>
      </w:r>
    </w:p>
    <w:p w:rsidR="00032A5B" w:rsidRDefault="00032A5B" w:rsidP="00032A5B">
      <w:pPr>
        <w:spacing w:before="120"/>
      </w:pPr>
      <w:r>
        <w:t>Cockrell testified that after Navarro let him go he was shaking, crying, nervous, scared, and looking around to make sure no one else was trying to stop him. When he got home his demeanor was about the same.</w:t>
      </w:r>
    </w:p>
    <w:p w:rsidR="00032A5B" w:rsidRDefault="00032A5B" w:rsidP="00032A5B">
      <w:pPr>
        <w:spacing w:before="120"/>
      </w:pPr>
      <w:r>
        <w:t xml:space="preserve">Cockrell's parents saw him in the Wal-Mart store immediately after he was let go. They said he was upset, nervous, had tears in his eyes, and looked scared, pale, and badly shaken up. When he arrived at home he was crying, nervous, and still "pretty well shook up." His mother said that he stayed upset for a "long time" and would not go out of the house or go anywhere with his parents. She explained that </w:t>
      </w:r>
    </w:p>
    <w:p w:rsidR="00032A5B" w:rsidRDefault="00032A5B" w:rsidP="00032A5B"/>
    <w:p w:rsidR="00032A5B" w:rsidRDefault="00032A5B" w:rsidP="00032A5B">
      <w:pPr>
        <w:ind w:left="600" w:right="600"/>
      </w:pPr>
      <w:r>
        <w:rPr>
          <w:sz w:val="16"/>
          <w:szCs w:val="16"/>
        </w:rPr>
        <w:t>he won't go out hardly. And if he does, he just goes with us. And he's always looking around if we go in a store, like he's looking over his shoulder to see if anybody's following him. And he's self-conscious of his stomach, and he feel</w:t>
      </w:r>
      <w:r w:rsidR="004862C6">
        <w:rPr>
          <w:sz w:val="16"/>
          <w:szCs w:val="16"/>
        </w:rPr>
        <w:t>s like everybody knows it.</w:t>
      </w:r>
    </w:p>
    <w:p w:rsidR="00032A5B" w:rsidRDefault="00032A5B" w:rsidP="00032A5B"/>
    <w:p w:rsidR="00032A5B" w:rsidRDefault="00032A5B" w:rsidP="00032A5B">
      <w:r>
        <w:t xml:space="preserve">His father said that: </w:t>
      </w:r>
    </w:p>
    <w:p w:rsidR="00032A5B" w:rsidRDefault="00032A5B" w:rsidP="00032A5B"/>
    <w:p w:rsidR="00032A5B" w:rsidRDefault="00032A5B" w:rsidP="00032A5B">
      <w:pPr>
        <w:ind w:left="600" w:right="600"/>
      </w:pPr>
      <w:r>
        <w:rPr>
          <w:sz w:val="16"/>
          <w:szCs w:val="16"/>
        </w:rPr>
        <w:t>Before this happened, he [Cockrell] and I, we were real good buddies. We went places together, you know, and we'd go to the Dairy Queen and we'd go down to the pawn shop and just shop around, you know. And after that, he was-he really didn't want to go nowhere. And I asked him one time, "Why?" He said, "I just don't want to go." And a lot of times-sometimes he might go and sometimes he might sit in the car and I go do what I want to do. But after that, he-he has just recently got out of it, really. . . . We're a member of the lodge and he didn't even want to go to the lodge with me because he was so embarrassed that he might meet someone down there that would confront him with what had happened out there. And he just-recently, we'll go places together now since I retired and he's not been working for a long time. And just got buddy-buddy again, and he's finally come out of it some. But he's still not like he was.</w:t>
      </w:r>
    </w:p>
    <w:p w:rsidR="00032A5B" w:rsidRDefault="00032A5B" w:rsidP="00032A5B"/>
    <w:p w:rsidR="00032A5B" w:rsidRDefault="00032A5B" w:rsidP="00032A5B">
      <w:r>
        <w:t>On cross-examination his father said that in 1997 he and Cockrell began going to the Dairy Queen sometimes once or twice a day to socialize.</w:t>
      </w:r>
    </w:p>
    <w:p w:rsidR="00032A5B" w:rsidRDefault="00032A5B" w:rsidP="00032A5B">
      <w:pPr>
        <w:spacing w:before="120"/>
      </w:pPr>
      <w:r>
        <w:t>This is direct evidence of the nature, duration, and severity of Cockrell's mental anguish, thus establishing a substantial disruption in his daily routine. His mental pain and distress was more than mere worry, anxiety, vexation, embarrassment, or anger. . . . We hold that the evidence is legally and factually sufficient to support the award of mental anguish damages. We overrule issue three. . . .</w:t>
      </w:r>
    </w:p>
    <w:p w:rsidR="00032A5B" w:rsidRDefault="00032A5B" w:rsidP="00032A5B">
      <w:pPr>
        <w:spacing w:before="120"/>
      </w:pPr>
      <w:r>
        <w:t>We AFFIRM the trial court's judgment.</w:t>
      </w:r>
    </w:p>
    <w:p w:rsidR="00032A5B" w:rsidRDefault="00032A5B" w:rsidP="00032A5B"/>
    <w:p w:rsidR="00032A5B" w:rsidRDefault="00032A5B" w:rsidP="00032A5B">
      <w:r w:rsidRPr="00B0274B">
        <w:rPr>
          <w:bCs/>
        </w:rPr>
        <w:t xml:space="preserve">J. BONNER DORSEY, </w:t>
      </w:r>
      <w:r>
        <w:t xml:space="preserve">Justice </w:t>
      </w:r>
    </w:p>
    <w:p w:rsidR="00032A5B" w:rsidRDefault="00032A5B" w:rsidP="00032A5B">
      <w:pPr>
        <w:rPr>
          <w:sz w:val="32"/>
        </w:rPr>
      </w:pPr>
    </w:p>
    <w:p w:rsidR="00032A5B" w:rsidRDefault="00032A5B" w:rsidP="00032A5B">
      <w:r>
        <w:br w:type="page"/>
      </w:r>
    </w:p>
    <w:p w:rsidR="00032A5B" w:rsidRDefault="00032A5B" w:rsidP="00032A5B">
      <w:pPr>
        <w:ind w:left="300" w:right="300"/>
        <w:jc w:val="center"/>
      </w:pPr>
      <w:r>
        <w:lastRenderedPageBreak/>
        <w:t>BETTY L. PERNA AND THOMAS R. PERNA, JR.,</w:t>
      </w:r>
    </w:p>
    <w:p w:rsidR="00032A5B" w:rsidRDefault="00032A5B" w:rsidP="00032A5B">
      <w:pPr>
        <w:ind w:left="300" w:right="300"/>
        <w:jc w:val="center"/>
      </w:pPr>
      <w:r>
        <w:t>PLAINTIFFS-APPELLANTS, v. MICHAEL J. PIROZZI, M.D., ANTHONY</w:t>
      </w:r>
    </w:p>
    <w:p w:rsidR="00032A5B" w:rsidRDefault="00032A5B" w:rsidP="00032A5B">
      <w:pPr>
        <w:ind w:left="300" w:right="300"/>
        <w:jc w:val="center"/>
      </w:pPr>
      <w:r>
        <w:t>DEL GAIZO, M.D., AND PATRICK N. CICCONE, M.D.,</w:t>
      </w:r>
    </w:p>
    <w:p w:rsidR="00032A5B" w:rsidRDefault="00032A5B" w:rsidP="00032A5B">
      <w:pPr>
        <w:ind w:left="300" w:right="300"/>
        <w:jc w:val="center"/>
      </w:pPr>
      <w:r>
        <w:t>DEFENDANTS-RESPONDENTS, AND MANSOOR KARAMOOZ, M.D.,</w:t>
      </w:r>
    </w:p>
    <w:p w:rsidR="00032A5B" w:rsidRDefault="00032A5B" w:rsidP="00032A5B">
      <w:pPr>
        <w:ind w:left="300" w:right="300"/>
        <w:jc w:val="center"/>
      </w:pPr>
      <w:r>
        <w:t>DEFENDANT</w:t>
      </w:r>
    </w:p>
    <w:p w:rsidR="00032A5B" w:rsidRDefault="00032A5B" w:rsidP="00032A5B">
      <w:pPr>
        <w:ind w:left="300" w:right="300"/>
        <w:jc w:val="center"/>
      </w:pPr>
    </w:p>
    <w:p w:rsidR="00032A5B" w:rsidRDefault="00032A5B" w:rsidP="00032A5B">
      <w:pPr>
        <w:ind w:left="300" w:right="300"/>
        <w:jc w:val="center"/>
      </w:pPr>
      <w:r>
        <w:t xml:space="preserve">Supreme Court of </w:t>
      </w:r>
      <w:smartTag w:uri="urn:schemas-microsoft-com:office:smarttags" w:element="place">
        <w:smartTag w:uri="urn:schemas-microsoft-com:office:smarttags" w:element="State">
          <w:r>
            <w:t>New Jersey</w:t>
          </w:r>
        </w:smartTag>
      </w:smartTag>
    </w:p>
    <w:p w:rsidR="00032A5B" w:rsidRDefault="00032A5B" w:rsidP="00032A5B">
      <w:pPr>
        <w:ind w:left="300" w:right="300"/>
        <w:jc w:val="center"/>
      </w:pPr>
    </w:p>
    <w:p w:rsidR="00032A5B" w:rsidRDefault="00032A5B" w:rsidP="00032A5B">
      <w:pPr>
        <w:ind w:left="300" w:right="300"/>
        <w:jc w:val="center"/>
      </w:pPr>
      <w:r>
        <w:t>92 N.J. 446; 457 A.2d 43</w:t>
      </w:r>
      <w:r w:rsidR="003A3780">
        <w:t>1</w:t>
      </w:r>
    </w:p>
    <w:p w:rsidR="00032A5B" w:rsidRDefault="00032A5B" w:rsidP="00032A5B">
      <w:pPr>
        <w:ind w:left="300" w:right="300"/>
        <w:jc w:val="center"/>
      </w:pPr>
    </w:p>
    <w:p w:rsidR="00032A5B" w:rsidRDefault="00032A5B" w:rsidP="00032A5B">
      <w:pPr>
        <w:ind w:left="300" w:right="300"/>
        <w:jc w:val="center"/>
      </w:pPr>
      <w:smartTag w:uri="urn:schemas-microsoft-com:office:smarttags" w:element="date">
        <w:smartTagPr>
          <w:attr w:name="Month" w:val="3"/>
          <w:attr w:name="Day" w:val="2"/>
          <w:attr w:name="Year" w:val="1983"/>
        </w:smartTagPr>
        <w:r>
          <w:t>March 2, 1983</w:t>
        </w:r>
      </w:smartTag>
      <w:r>
        <w:t>, Decided</w:t>
      </w:r>
    </w:p>
    <w:p w:rsidR="00032A5B" w:rsidRDefault="00032A5B" w:rsidP="00032A5B">
      <w:pPr>
        <w:jc w:val="both"/>
      </w:pPr>
    </w:p>
    <w:p w:rsidR="00032A5B" w:rsidRDefault="00032A5B" w:rsidP="00032A5B">
      <w:pPr>
        <w:jc w:val="both"/>
      </w:pPr>
    </w:p>
    <w:p w:rsidR="00032A5B" w:rsidRDefault="00032A5B" w:rsidP="00032A5B">
      <w:pPr>
        <w:jc w:val="both"/>
      </w:pPr>
      <w:r>
        <w:t xml:space="preserve">The opinion of the Court was delivered by Pollock, J.  </w:t>
      </w:r>
    </w:p>
    <w:p w:rsidR="00032A5B" w:rsidRDefault="00032A5B" w:rsidP="00032A5B">
      <w:pPr>
        <w:jc w:val="both"/>
      </w:pPr>
    </w:p>
    <w:p w:rsidR="00032A5B" w:rsidRDefault="00032A5B" w:rsidP="00032A5B">
      <w:pPr>
        <w:pStyle w:val="BodyText2"/>
      </w:pPr>
      <w:r>
        <w:t xml:space="preserve">OPINION:   </w:t>
      </w:r>
    </w:p>
    <w:p w:rsidR="00032A5B" w:rsidRDefault="00032A5B" w:rsidP="00032A5B">
      <w:pPr>
        <w:jc w:val="both"/>
      </w:pPr>
    </w:p>
    <w:p w:rsidR="00032A5B" w:rsidRDefault="00032A5B" w:rsidP="00032A5B">
      <w:pPr>
        <w:jc w:val="both"/>
      </w:pPr>
      <w:r>
        <w:t>I</w:t>
      </w:r>
    </w:p>
    <w:p w:rsidR="00032A5B" w:rsidRDefault="00032A5B" w:rsidP="00032A5B">
      <w:pPr>
        <w:jc w:val="both"/>
      </w:pPr>
    </w:p>
    <w:p w:rsidR="00032A5B" w:rsidRDefault="00032A5B" w:rsidP="00032A5B">
      <w:pPr>
        <w:jc w:val="both"/>
      </w:pPr>
      <w:r>
        <w:t xml:space="preserve">   On the advice of his family physician, Thomas Perna entered </w:t>
      </w:r>
      <w:smartTag w:uri="urn:schemas-microsoft-com:office:smarttags" w:element="place">
        <w:smartTag w:uri="urn:schemas-microsoft-com:office:smarttags" w:element="City">
          <w:r>
            <w:t>St. Joseph</w:t>
          </w:r>
        </w:smartTag>
      </w:smartTag>
      <w:r>
        <w:t xml:space="preserve">'s Hospital on </w:t>
      </w:r>
      <w:smartTag w:uri="urn:schemas-microsoft-com:office:smarttags" w:element="date">
        <w:smartTagPr>
          <w:attr w:name="Month" w:val="5"/>
          <w:attr w:name="Day" w:val="8"/>
          <w:attr w:name="Year" w:val="1977"/>
        </w:smartTagPr>
        <w:r>
          <w:t>May 8, 1977</w:t>
        </w:r>
      </w:smartTag>
      <w:r>
        <w:t xml:space="preserve"> for tests and a urological consultation.  Mr. Perna consulted Dr. Pirozzi, a specialist in urology, who examined Mr. Perna and recommended that he undergo surgery for the removal of kidney stones.  </w:t>
      </w:r>
    </w:p>
    <w:p w:rsidR="00032A5B" w:rsidRDefault="00032A5B" w:rsidP="00032A5B">
      <w:pPr>
        <w:jc w:val="both"/>
      </w:pPr>
    </w:p>
    <w:p w:rsidR="00032A5B" w:rsidRDefault="00032A5B" w:rsidP="00032A5B">
      <w:pPr>
        <w:jc w:val="both"/>
      </w:pPr>
      <w:r>
        <w:t xml:space="preserve">   Dr. Pirozzi was associated with a medical group that also included Drs. Del Gaizo and Ciccone.  The doctors testified at trial that their medical group customarily shared patients; no doctor had individual patients, and each doctor was familiar with all cases under care of the group.  Further, it was not the practice of the group to inform patients which member would operate; the physicians operated as a "team," and their regular practice was to decide just prior to the operation who was to operate.  If, however, a patient requested a specific member of the group as his surgeon, that surgeon would perform the operation.  Nothing indicated that Mr. Perna was aware of the group's custom of sharing patients or of their methods for assigning surgical duties.  </w:t>
      </w:r>
    </w:p>
    <w:p w:rsidR="00032A5B" w:rsidRDefault="00032A5B" w:rsidP="00032A5B">
      <w:pPr>
        <w:jc w:val="both"/>
      </w:pPr>
    </w:p>
    <w:p w:rsidR="00032A5B" w:rsidRDefault="00032A5B" w:rsidP="00032A5B">
      <w:pPr>
        <w:jc w:val="both"/>
      </w:pPr>
      <w:r>
        <w:t xml:space="preserve">   Although Mr. Perna had never consulted with Dr. Del Gaizo or Dr. Ciccone, he had been treated by Dr. Pirozzi previously in conjunction with a bladder infection.  According to Mr. Perna, he specifically requested Dr. Pirozzi to  perform the operation.  None of the defendants directly contradicted Mr. Perna's testimony.  However, Dr. Ciccone testified that he met with Mr. Perna on May 16 and, without discussing who would operate, explained that two members of the medical group would be present during the operation.  The following day, in the presence of a urological resident, Mr. Perna executed a consent form that named Dr. Pirozzi as the operating surgeon and authorized him, with the aid of unnamed "assistants," to perform the surgery. n1 In this context, the term "assistants" refers to medical personnel, not necessarily doctors, who aid the operating surgeon.  The operation was performed on May 18 by Dr. Del Gaizo, assisted by Dr. Ciccone.  Dr. Pirozzi was not present during the operation; in fact, he was not on duty that day.  At the time of surgery, Dr. Del Gaizo and Dr. Ciccone were unaware that only Dr. Pirozzi's name appeared on the consent form. </w:t>
      </w:r>
    </w:p>
    <w:p w:rsidR="00032A5B" w:rsidRDefault="00032A5B" w:rsidP="00032A5B">
      <w:pPr>
        <w:jc w:val="both"/>
      </w:pPr>
    </w:p>
    <w:p w:rsidR="00032A5B" w:rsidRDefault="00032A5B" w:rsidP="00032A5B">
      <w:pPr>
        <w:jc w:val="both"/>
      </w:pPr>
      <w:r>
        <w:t xml:space="preserve">   Mr. Perna first learned of the identities of the operating surgeons when he was readmitted to the hospital on June 11 because of post-surgical complications.  Subsequently, Mr. and Mrs. Perna filed suit for malpractice against all three doctors, alleging four deviations from standard medical procedure concerning the diagnosis, treatment and surgery performed by the defendants.  They further alleged that there was a failure to obtain Mr. Perna's informed consent to the operation performed by Dr. Del Gaizo.  That is, plaintiffs claimed that Mr. Perna's consent to the operation was conditioned upon his belief that Dr. Pirozzi would be the surgeon.  </w:t>
      </w:r>
    </w:p>
    <w:p w:rsidR="00032A5B" w:rsidRDefault="00032A5B" w:rsidP="00032A5B">
      <w:pPr>
        <w:jc w:val="both"/>
      </w:pPr>
    </w:p>
    <w:p w:rsidR="003A3780" w:rsidRDefault="00032A5B" w:rsidP="00032A5B">
      <w:pPr>
        <w:jc w:val="both"/>
      </w:pPr>
      <w:r>
        <w:t xml:space="preserve">   Pursuant to [</w:t>
      </w:r>
      <w:smartTag w:uri="urn:schemas-microsoft-com:office:smarttags" w:element="place">
        <w:smartTag w:uri="urn:schemas-microsoft-com:office:smarttags" w:element="State">
          <w:r>
            <w:t>New Jersey</w:t>
          </w:r>
        </w:smartTag>
      </w:smartTag>
      <w:r>
        <w:t xml:space="preserve"> law], the matter proceeded to a mandatory hearing before a medical malpractice panel.  The physician member of the panel, Dr. Litzky, had indicated in response to a questionnaire that he knew Dr. Pirozzi from attending professional meetings.  Plaintiffs' counsel did not object to Dr. Litzky serving on the panel, which unanimously found no basis for the claims pertaining to the diagnosis, treatment and operation performed by defendants. . . . .</w:t>
      </w:r>
      <w:r w:rsidR="003A3780">
        <w:t xml:space="preserve">   </w:t>
      </w:r>
    </w:p>
    <w:p w:rsidR="00032A5B" w:rsidRDefault="00032A5B" w:rsidP="00032A5B">
      <w:pPr>
        <w:jc w:val="both"/>
      </w:pPr>
      <w:r>
        <w:t>[</w:t>
      </w:r>
      <w:r w:rsidR="003A3780">
        <w:t xml:space="preserve">note:  </w:t>
      </w:r>
      <w:r>
        <w:t>the court then discusses objections to the panel hearing]</w:t>
      </w:r>
    </w:p>
    <w:p w:rsidR="00032A5B" w:rsidRDefault="00032A5B" w:rsidP="00032A5B">
      <w:pPr>
        <w:jc w:val="both"/>
      </w:pPr>
    </w:p>
    <w:p w:rsidR="004C1B65" w:rsidRDefault="004C1B65" w:rsidP="00032A5B">
      <w:pPr>
        <w:jc w:val="both"/>
      </w:pPr>
    </w:p>
    <w:p w:rsidR="004C1B65" w:rsidRDefault="004C1B65" w:rsidP="00032A5B">
      <w:pPr>
        <w:jc w:val="both"/>
      </w:pPr>
    </w:p>
    <w:p w:rsidR="004C1B65" w:rsidRDefault="004C1B65" w:rsidP="00032A5B">
      <w:pPr>
        <w:jc w:val="both"/>
      </w:pPr>
    </w:p>
    <w:p w:rsidR="00032A5B" w:rsidRDefault="00032A5B" w:rsidP="00032A5B">
      <w:pPr>
        <w:jc w:val="both"/>
      </w:pPr>
      <w:r>
        <w:t xml:space="preserve">IV  </w:t>
      </w:r>
    </w:p>
    <w:p w:rsidR="00032A5B" w:rsidRDefault="00032A5B" w:rsidP="00032A5B">
      <w:pPr>
        <w:jc w:val="both"/>
      </w:pPr>
    </w:p>
    <w:p w:rsidR="00032A5B" w:rsidRDefault="00032A5B" w:rsidP="00032A5B">
      <w:pPr>
        <w:jc w:val="both"/>
      </w:pPr>
      <w:r>
        <w:t xml:space="preserve">   We now address the nature of the claim resulting from the performance of the operation by a physician other than the one named in the consent form, so-called "ghost surgery."  If the claim is characterized as a failure to obtain informed consent, the operation may constitute an act of medical malpractice; if, however, it is viewed as a failure to obtain any consent, it is better classified as a battery.</w:t>
      </w:r>
    </w:p>
    <w:p w:rsidR="00032A5B" w:rsidRDefault="00032A5B" w:rsidP="00032A5B">
      <w:pPr>
        <w:jc w:val="both"/>
      </w:pPr>
    </w:p>
    <w:p w:rsidR="00032A5B" w:rsidRDefault="00032A5B" w:rsidP="00032A5B">
      <w:pPr>
        <w:jc w:val="both"/>
      </w:pPr>
      <w:r>
        <w:t xml:space="preserve">   Informed consent is a negligence concept predicated on the duty of a physician to disclose to a patient information that will enable him to "evaluate knowledgeably the options available and the risks attendant upon each" before subjecting that patient to a course of treatment.  Under the doctrine, the patient who consents to an operation is given the opportunity to show that the surgeon withheld information concerning "the inherent and potential hazards of the proposed treatment, the alternatives to that treatment, if any, and the results likely if the patient remains untreated." If the patient succeeds in proving that the surgeon did not comply with the applicable standard for disclosure, the consent is vitiated.</w:t>
      </w:r>
    </w:p>
    <w:p w:rsidR="00032A5B" w:rsidRDefault="00032A5B" w:rsidP="00032A5B">
      <w:pPr>
        <w:jc w:val="both"/>
      </w:pPr>
    </w:p>
    <w:p w:rsidR="00032A5B" w:rsidRDefault="00032A5B" w:rsidP="00032A5B">
      <w:pPr>
        <w:jc w:val="both"/>
      </w:pPr>
      <w:r>
        <w:t xml:space="preserve">   In an action predicated upon a battery, a patient need not prove initially that the physician has deviated from a professional standard of care.  Under a battery theory, proof of an unauthorized invasion of the plaintiff's person, even if harmless, entitles him to nominal damages.  The plaintiff may further recover for all  injuries proximately caused by the mere performance of the operation, whether the result of negligence or not.  If an operation is properly performed, albeit by a surgeon operating without the consent of the patient, and the patient suffers no injuries except those which foreseeably follow from the operation, then a jury could find that the substitution of surgeons did not cause any compensable injury.  Even there, however, a jury could award damages for mental anguish resulting from the belated knowledge that the operation was performed by a doctor to whom the patient had not given consent.  Furthermore, because battery connotes an intentional invasion of another's rights, punitive damages may be assessed in an appropriate case.</w:t>
      </w:r>
    </w:p>
    <w:p w:rsidR="00032A5B" w:rsidRDefault="00032A5B" w:rsidP="00032A5B">
      <w:pPr>
        <w:jc w:val="both"/>
      </w:pPr>
    </w:p>
    <w:p w:rsidR="00032A5B" w:rsidRDefault="00032A5B" w:rsidP="00032A5B">
      <w:pPr>
        <w:jc w:val="both"/>
      </w:pPr>
      <w:r>
        <w:t xml:space="preserve">   The plaintiffs here do not challenge the adequacy of the disclosure of information relating to risks inherent in the operation performed.  Nor do they contend that Mr. Perna would have decided not to undergo the operation if additional facts had been provided to him.  In short, they concede Perna consented to an operation by Dr. Pirozzi.  However, plaintiffs contend that two other surgeons operated on him without his consent.  If that contention is correct, the operating surgeons violated the patient's right to control his own body. </w:t>
      </w:r>
    </w:p>
    <w:p w:rsidR="00032A5B" w:rsidRDefault="00032A5B" w:rsidP="00032A5B">
      <w:pPr>
        <w:jc w:val="both"/>
      </w:pPr>
    </w:p>
    <w:p w:rsidR="00032A5B" w:rsidRDefault="00032A5B" w:rsidP="00032A5B">
      <w:pPr>
        <w:jc w:val="both"/>
      </w:pPr>
      <w:r>
        <w:t xml:space="preserve">   Any non-consensual touching is a battery.  Even more private than the decision who may touch one's body is the decision who may cut it open and invade it with hands and instruments.  Absent an emergency, patients have the right to determine not only whether surgery is to be performed on them, but who shall perform it.  A surgeon who operates without the patient's consent engages in the unauthorized touching of another and, thus, commits a battery.  A nonconsensual operation remains a battery even if performed skillfully and to the benefit of the patient.  The medical profession itself recognizes that it is unethical to mislead a patient as to the identity of the doctor who performs the operation.  Participation in such a deception is a recognized cause for discipline by the medical profession. . . . </w:t>
      </w:r>
    </w:p>
    <w:p w:rsidR="00032A5B" w:rsidRDefault="00032A5B" w:rsidP="00032A5B">
      <w:pPr>
        <w:jc w:val="both"/>
      </w:pPr>
    </w:p>
    <w:p w:rsidR="00032A5B" w:rsidRDefault="00032A5B" w:rsidP="00032A5B">
      <w:pPr>
        <w:jc w:val="both"/>
      </w:pPr>
      <w:r>
        <w:t xml:space="preserve">   A different theory applies to the claim against Dr. Pirozzi.  As to him, the action follows from the alleged breach of his agreement to operate and the fiduciary duty he owed his patient.  With respect to that allegation, the Judicial Council of the American Medical Association has decried the substitution of one surgeon for another without the consent of the patient, describing that practice as a "deceit."  A patient has the right to choose the surgeon who will operate on him and to refuse to accept a substitute. Correlative to that right is the duty of the doctor to provide his or her personal services in accordance with the agreement with the patient.</w:t>
      </w:r>
    </w:p>
    <w:p w:rsidR="00032A5B" w:rsidRDefault="00032A5B" w:rsidP="00032A5B">
      <w:pPr>
        <w:jc w:val="both"/>
      </w:pPr>
    </w:p>
    <w:p w:rsidR="00032A5B" w:rsidRDefault="00032A5B" w:rsidP="00032A5B">
      <w:pPr>
        <w:jc w:val="both"/>
      </w:pPr>
      <w:r>
        <w:t xml:space="preserve">   Few decisions bespeak greater trust and confidence than the decision of a patient to proceed with surgery.  Implicit in that decision is a willingness of the patient to put his or her life in the hands of a known and trusted medical doctor.  Sometimes circumstances will arise in which, because of an emergency, the limited capacity of the patient, or some other valid reason, the doctor cannot obtain the express consent of the patient to a surrogate surgeon.  Other times, doctors who practice in a medical group may explain to a patient that any one of them may perform a medical procedure.  In that situation, the patient may accept any or all the members of the group as his surgeon.  In still other instances, the patient may consent to an operation performed by a resident under the supervision of the attending physician.  The point is that </w:t>
      </w:r>
      <w:r>
        <w:lastRenderedPageBreak/>
        <w:t xml:space="preserve">a patient has the right to know who will operate and the consent form should reflect the patient's decision.  Where a competent patient consents to surgery by a specific surgeon of his choice, the patient has every right to expect that surgeon, not another, to operate.  </w:t>
      </w:r>
    </w:p>
    <w:p w:rsidR="00032A5B" w:rsidRDefault="00032A5B" w:rsidP="00032A5B">
      <w:pPr>
        <w:jc w:val="both"/>
      </w:pPr>
    </w:p>
    <w:p w:rsidR="00032A5B" w:rsidRDefault="00032A5B" w:rsidP="00032A5B">
      <w:pPr>
        <w:jc w:val="both"/>
      </w:pPr>
      <w:r>
        <w:t xml:space="preserve">   The failure of a surgeon to perform a medical procedure after soliciting a patient's consent, like the failure to operate on the appropriate part of a patient's body, is a deviation from standard medical care. It is malpractice whether the right surgeon operates on the wrong part or the wrong surgeon operates on the right part of the patient.  In each instance, the surgeon has breached his duty to care for the patient.  Where damages are the proximate result of a deviation from standard medical care, a patient has a cause of action for malpractice.  Although an alternative cause of action could be framed as a breach of the contract between the surgeon and the patient, generally the more appropriate characterization of the cause will be for breach of the duty of care owed by the doctor to the patient.  The absence of damages may render any action deficient, but the doctor who, without the consent of the patient, permits another surgeon to operate violates not only a fundamental tenet of the medical profession, but also a legal obligation. </w:t>
      </w:r>
    </w:p>
    <w:p w:rsidR="00032A5B" w:rsidRDefault="00032A5B" w:rsidP="00032A5B">
      <w:pPr>
        <w:jc w:val="both"/>
      </w:pPr>
    </w:p>
    <w:p w:rsidR="00032A5B" w:rsidRDefault="00032A5B" w:rsidP="00032A5B">
      <w:pPr>
        <w:jc w:val="both"/>
      </w:pPr>
      <w:r>
        <w:t xml:space="preserve">   The judgment below is reversed and the matter remanded for trial consistent with our opinion.  On remand, the court shall conduct a new pretrial conference at which all parties should have the opportunity to amend their pleadings to conform to this opinion.</w:t>
      </w:r>
    </w:p>
    <w:p w:rsidR="00032A5B" w:rsidRPr="004A0D00" w:rsidRDefault="00032A5B" w:rsidP="00032A5B">
      <w:pPr>
        <w:jc w:val="center"/>
        <w:rPr>
          <w:bCs/>
        </w:rPr>
      </w:pPr>
      <w:r>
        <w:br w:type="page"/>
      </w:r>
      <w:r w:rsidRPr="004A0D00">
        <w:rPr>
          <w:bCs/>
        </w:rPr>
        <w:lastRenderedPageBreak/>
        <w:t>HUSTLER MAGAZINE AND LARRY C. FLYNT v. FALWELL</w:t>
      </w:r>
    </w:p>
    <w:p w:rsidR="00032A5B" w:rsidRPr="004A0D00" w:rsidRDefault="00032A5B" w:rsidP="00032A5B">
      <w:pPr>
        <w:jc w:val="center"/>
        <w:rPr>
          <w:bCs/>
        </w:rPr>
      </w:pPr>
    </w:p>
    <w:p w:rsidR="00032A5B" w:rsidRPr="004A0D00" w:rsidRDefault="00032A5B" w:rsidP="00032A5B">
      <w:pPr>
        <w:jc w:val="center"/>
        <w:rPr>
          <w:bCs/>
        </w:rPr>
      </w:pPr>
      <w:smartTag w:uri="urn:schemas-microsoft-com:office:smarttags" w:element="place">
        <w:smartTag w:uri="urn:schemas-microsoft-com:office:smarttags" w:element="country-region">
          <w:r w:rsidRPr="004A0D00">
            <w:rPr>
              <w:bCs/>
            </w:rPr>
            <w:t>U.S.</w:t>
          </w:r>
        </w:smartTag>
      </w:smartTag>
      <w:r w:rsidRPr="004A0D00">
        <w:rPr>
          <w:bCs/>
        </w:rPr>
        <w:t xml:space="preserve"> Supreme Court</w:t>
      </w:r>
    </w:p>
    <w:p w:rsidR="00032A5B" w:rsidRPr="004A0D00" w:rsidRDefault="00032A5B" w:rsidP="00032A5B">
      <w:pPr>
        <w:jc w:val="center"/>
        <w:rPr>
          <w:bCs/>
        </w:rPr>
      </w:pPr>
    </w:p>
    <w:p w:rsidR="00032A5B" w:rsidRPr="004A0D00" w:rsidRDefault="00032A5B" w:rsidP="00032A5B">
      <w:pPr>
        <w:jc w:val="center"/>
        <w:rPr>
          <w:bCs/>
        </w:rPr>
      </w:pPr>
      <w:r w:rsidRPr="004A0D00">
        <w:rPr>
          <w:bCs/>
        </w:rPr>
        <w:t xml:space="preserve">485 </w:t>
      </w:r>
      <w:smartTag w:uri="urn:schemas-microsoft-com:office:smarttags" w:element="place">
        <w:smartTag w:uri="urn:schemas-microsoft-com:office:smarttags" w:element="country-region">
          <w:r w:rsidRPr="004A0D00">
            <w:rPr>
              <w:bCs/>
            </w:rPr>
            <w:t>U.S.</w:t>
          </w:r>
        </w:smartTag>
      </w:smartTag>
      <w:r w:rsidRPr="004A0D00">
        <w:rPr>
          <w:bCs/>
        </w:rPr>
        <w:t xml:space="preserve"> 46 (1988)</w:t>
      </w:r>
    </w:p>
    <w:p w:rsidR="00032A5B" w:rsidRPr="004A0D00" w:rsidRDefault="00032A5B" w:rsidP="00032A5B">
      <w:pPr>
        <w:jc w:val="center"/>
        <w:rPr>
          <w:bCs/>
        </w:rPr>
      </w:pPr>
    </w:p>
    <w:p w:rsidR="00032A5B" w:rsidRPr="004A0D00" w:rsidRDefault="00032A5B" w:rsidP="00032A5B">
      <w:pPr>
        <w:pStyle w:val="NormalWeb"/>
        <w:spacing w:before="0" w:beforeAutospacing="0" w:after="0" w:afterAutospacing="0"/>
        <w:jc w:val="center"/>
        <w:rPr>
          <w:bCs/>
          <w:sz w:val="20"/>
        </w:rPr>
      </w:pPr>
      <w:r w:rsidRPr="004A0D00">
        <w:rPr>
          <w:bCs/>
          <w:sz w:val="20"/>
        </w:rPr>
        <w:t xml:space="preserve">Argued </w:t>
      </w:r>
      <w:smartTag w:uri="urn:schemas-microsoft-com:office:smarttags" w:element="date">
        <w:smartTagPr>
          <w:attr w:name="Month" w:val="12"/>
          <w:attr w:name="Day" w:val="2"/>
          <w:attr w:name="Year" w:val="1987"/>
        </w:smartTagPr>
        <w:r w:rsidRPr="004A0D00">
          <w:rPr>
            <w:bCs/>
            <w:sz w:val="20"/>
          </w:rPr>
          <w:t>December 2, 1987</w:t>
        </w:r>
      </w:smartTag>
    </w:p>
    <w:p w:rsidR="00032A5B" w:rsidRPr="004A0D00" w:rsidRDefault="00032A5B" w:rsidP="00032A5B">
      <w:pPr>
        <w:pStyle w:val="NormalWeb"/>
        <w:spacing w:before="0" w:beforeAutospacing="0" w:after="0" w:afterAutospacing="0"/>
        <w:jc w:val="center"/>
        <w:rPr>
          <w:bCs/>
          <w:sz w:val="20"/>
        </w:rPr>
      </w:pPr>
      <w:r w:rsidRPr="004A0D00">
        <w:rPr>
          <w:bCs/>
          <w:sz w:val="20"/>
        </w:rPr>
        <w:t xml:space="preserve">Decided </w:t>
      </w:r>
      <w:smartTag w:uri="urn:schemas-microsoft-com:office:smarttags" w:element="date">
        <w:smartTagPr>
          <w:attr w:name="Month" w:val="2"/>
          <w:attr w:name="Day" w:val="24"/>
          <w:attr w:name="Year" w:val="1988"/>
        </w:smartTagPr>
        <w:r w:rsidRPr="004A0D00">
          <w:rPr>
            <w:bCs/>
            <w:sz w:val="20"/>
          </w:rPr>
          <w:t>February 24, 1988</w:t>
        </w:r>
      </w:smartTag>
    </w:p>
    <w:p w:rsidR="00032A5B" w:rsidRDefault="00032A5B" w:rsidP="00032A5B">
      <w:pPr>
        <w:pStyle w:val="NormalWeb"/>
        <w:spacing w:before="0" w:beforeAutospacing="0" w:after="0" w:afterAutospacing="0"/>
        <w:rPr>
          <w:sz w:val="20"/>
        </w:rPr>
      </w:pPr>
    </w:p>
    <w:p w:rsidR="00032A5B" w:rsidRDefault="00032A5B" w:rsidP="00032A5B">
      <w:pPr>
        <w:pStyle w:val="NormalWeb"/>
        <w:rPr>
          <w:sz w:val="20"/>
        </w:rPr>
      </w:pPr>
    </w:p>
    <w:p w:rsidR="00032A5B" w:rsidRDefault="00032A5B" w:rsidP="00032A5B">
      <w:pPr>
        <w:pStyle w:val="NormalWeb"/>
        <w:jc w:val="both"/>
        <w:rPr>
          <w:sz w:val="20"/>
        </w:rPr>
      </w:pPr>
      <w:r>
        <w:rPr>
          <w:sz w:val="20"/>
        </w:rPr>
        <w:t xml:space="preserve">REHNQUIST, C. J., delivered the opinion of the Court, in which BRENNAN, MARSHALL, BLACKMUN, STEVENS, O'CONNOR, and SCALIA, JJ., joined. WHITE, J., filed an opinion concurring in the judgment. KENNEDY, J., took no part in the consideration or decision of the case. </w:t>
      </w:r>
    </w:p>
    <w:p w:rsidR="00032A5B" w:rsidRDefault="00032A5B" w:rsidP="00032A5B">
      <w:pPr>
        <w:pStyle w:val="NormalWeb"/>
        <w:jc w:val="both"/>
        <w:rPr>
          <w:sz w:val="20"/>
        </w:rPr>
      </w:pPr>
      <w:r>
        <w:rPr>
          <w:sz w:val="20"/>
        </w:rPr>
        <w:t xml:space="preserve">CHIEF JUSTICE REHNQUIST delivered the opinion of the Court. </w:t>
      </w:r>
    </w:p>
    <w:p w:rsidR="00032A5B" w:rsidRDefault="00032A5B" w:rsidP="00032A5B">
      <w:pPr>
        <w:pStyle w:val="NormalWeb"/>
        <w:jc w:val="both"/>
        <w:rPr>
          <w:sz w:val="20"/>
        </w:rPr>
      </w:pPr>
      <w:r>
        <w:rPr>
          <w:sz w:val="20"/>
        </w:rPr>
        <w:t>Petitioner Hustler Magazine, Inc., is a magazine of nationwide circulation. Respondent Jerry Falwell, a nationally known minister who has been active as a commentator on politics and public affairs, sued petitioner and its publisher, petitioner Larry Flynt, to recover damages for invasion of</w:t>
      </w:r>
      <w:r>
        <w:rPr>
          <w:color w:val="005500"/>
          <w:sz w:val="20"/>
          <w:szCs w:val="20"/>
        </w:rPr>
        <w:t xml:space="preserve"> </w:t>
      </w:r>
      <w:r>
        <w:rPr>
          <w:sz w:val="20"/>
        </w:rPr>
        <w:t xml:space="preserve">privacy, libel, and intentional infliction of emotional distress. The District Court directed a verdict against respondent on the privacy claim, and submitted the other two claims to a jury. The jury found for petitioners on the defamation claim, but found for respondent on the claim for intentional infliction of emotional distress and awarded damages. We now consider whether this award is consistent with the First and Fourteenth Amendments of the United States Constitution. </w:t>
      </w:r>
    </w:p>
    <w:p w:rsidR="00032A5B" w:rsidRDefault="00032A5B" w:rsidP="00032A5B">
      <w:pPr>
        <w:pStyle w:val="NormalWeb"/>
        <w:jc w:val="both"/>
        <w:rPr>
          <w:sz w:val="20"/>
        </w:rPr>
      </w:pPr>
      <w:r>
        <w:rPr>
          <w:sz w:val="20"/>
        </w:rPr>
        <w:t xml:space="preserve">The inside front cover of the November 1983 issue of Hustler Magazine featured a "parody" of an advertisement for Campari Liqueur that contained the name and picture of respondent and was entitled "Jerry Falwell talks about his first time." This parody was modeled after actual Campari ads that included interviews with various celebrities about their "first times." Although it was apparent by the end of each interview that this meant the first time they sampled Campari, the ads clearly played on the sexual double entendre of the general subject of "first times." Copying the form and layout of these Campari ads, Hustler's editors chose respondent as the featured celebrity and drafted an alleged "interview" with him in which he states that his "first time" was during a drunken incestuous rendezvous with his mother in an outhouse. The Hustler parody portrays respondent and his mother as drunk and immoral, and suggests that respondent is a hypocrite who preaches only when he is drunk. In small print at the bottom of the page, the ad contains the disclaimer, "ad parody - not to be taken seriously." The magazine's table of contents also lists the ad as "Fiction; Ad and Personality Parody." </w:t>
      </w:r>
    </w:p>
    <w:p w:rsidR="00032A5B" w:rsidRDefault="00032A5B" w:rsidP="00032A5B">
      <w:pPr>
        <w:pStyle w:val="NormalWeb"/>
        <w:jc w:val="both"/>
        <w:rPr>
          <w:sz w:val="20"/>
        </w:rPr>
      </w:pPr>
      <w:r>
        <w:rPr>
          <w:sz w:val="20"/>
        </w:rPr>
        <w:t>Soon after the November issue of Hustler became available to the public, respondent brought this diversity action in the United States District Court for the Western District of Virginia against Hustler Magazine, Inc., Larry C. Flynt, and Flynt Distributing Co., Inc. Respondent stated in his complaint that publication of the ad parody in Hustler entitled</w:t>
      </w:r>
      <w:r>
        <w:rPr>
          <w:color w:val="005500"/>
          <w:sz w:val="20"/>
          <w:szCs w:val="20"/>
        </w:rPr>
        <w:t xml:space="preserve"> </w:t>
      </w:r>
      <w:r>
        <w:rPr>
          <w:sz w:val="20"/>
        </w:rPr>
        <w:t xml:space="preserve">him to recover damages for libel, invasion of privacy, and intentional infliction of emotional distress. The case proceeded to trial.  At the close of the evidence, the District Court granted a directed verdict for petitioners on the invasion of privacy claim. The jury then found against respondent on the libel claim, specifically finding that the ad parody could not "reasonably be understood as describing actual facts about [respondent] or actual events in which [he] participated."  The jury ruled for respondent on the intentional infliction of emotional distress claim, however, and stated that he should be awarded $100,000 in compensatory damages, as well as $50,000 each in punitive damages from petitioners.  Petitioners' motion for judgment notwithstanding the verdict was denied. </w:t>
      </w:r>
    </w:p>
    <w:p w:rsidR="00032A5B" w:rsidRDefault="00032A5B" w:rsidP="00032A5B">
      <w:pPr>
        <w:pStyle w:val="NormalWeb"/>
        <w:jc w:val="both"/>
        <w:rPr>
          <w:sz w:val="20"/>
        </w:rPr>
      </w:pPr>
      <w:r>
        <w:rPr>
          <w:sz w:val="20"/>
        </w:rPr>
        <w:t xml:space="preserve">On appeal, the United States Court of Appeals for the Fourth Circuit affirmed the judgment against petitioners.  The court rejected petitioners' argument that the "actual malice" standard of New York Times Co. v. Sullivan, must be met before respondent can recover for emotional distress. The court agreed that because respondent is concededly a public figure, petitioners are "entitled to the same level of first amendment protection in the claim for intentional infliction of emotional distress that they received in [respondent's] claim for libel." But this does not mean that a literal application of the actual malice rule is appropriate in the context of an emotional distress claim. In the court's view, the New York Times decision </w:t>
      </w:r>
      <w:r>
        <w:rPr>
          <w:sz w:val="20"/>
        </w:rPr>
        <w:lastRenderedPageBreak/>
        <w:t>emphasized the constitutional importance not of the falsity of the statement or the defendant's disregard for the truth, but of the heightened level of culpability embodied in the requirement of "knowing . . . or reckless" conduct. Here, the New York Times standard is satisfied by the state-law requirement, and the jury's finding, that the defendants have acted intentionally or recklessly. fn</w:t>
      </w:r>
      <w:r w:rsidRPr="006B3120">
        <w:rPr>
          <w:sz w:val="20"/>
        </w:rPr>
        <w:t xml:space="preserve">3 </w:t>
      </w:r>
      <w:r>
        <w:rPr>
          <w:sz w:val="20"/>
        </w:rPr>
        <w:t xml:space="preserve"> The Court of Appeals then went on to reject the contention that because the jury found that the ad parody did not describe actual facts about respondent, the ad was an opinion that is protected by the First Amendment. As the court put it, this was "irrelevant," as the issue is "whether [the ad's] publication was sufficiently outrageous to constitute intentional infliction of emotional distress."   Petitioners then filed a petition for rehearing en banc, but this was denied by a divided court. Given the importance of the constitutional issues involved, we granted certiorari. </w:t>
      </w:r>
    </w:p>
    <w:p w:rsidR="00032A5B" w:rsidRDefault="00032A5B" w:rsidP="00032A5B">
      <w:pPr>
        <w:pStyle w:val="NormalWeb"/>
        <w:jc w:val="both"/>
        <w:rPr>
          <w:sz w:val="20"/>
        </w:rPr>
      </w:pPr>
      <w:r>
        <w:rPr>
          <w:sz w:val="20"/>
        </w:rPr>
        <w:t xml:space="preserve">This case presents us with a novel question involving First Amendment limitations upon a State's authority to protect its citizens from the intentional infliction of emotional distress. We must decide whether a public figure may recover damages for emotional harm caused by the publication of an ad parody offensive to him, and doubtless gross and repugnant in the eyes of most. Respondent would have us find that a State's interest in protecting public figures from emotional distress is sufficient to deny First Amendment protection to speech that is patently offensive and is intended to inflict emotional injury, even when that speech could not reasonably have been interpreted as stating actual facts about the public figure involved. This we decline to do. </w:t>
      </w:r>
    </w:p>
    <w:p w:rsidR="00032A5B" w:rsidRDefault="00032A5B" w:rsidP="00032A5B">
      <w:pPr>
        <w:pStyle w:val="NormalWeb"/>
        <w:jc w:val="both"/>
        <w:rPr>
          <w:sz w:val="20"/>
        </w:rPr>
      </w:pPr>
      <w:r>
        <w:rPr>
          <w:sz w:val="20"/>
        </w:rPr>
        <w:t xml:space="preserve">At the heart of the First Amendment is the recognition of the fundamental importance of the free flow of ideas and opinions on matters of public interest and concern. . . . . We have therefore been particularly vigilant to ensure that individual expressions of ideas remain free from governmentally imposed sanctions. . . . . </w:t>
      </w:r>
    </w:p>
    <w:p w:rsidR="00032A5B" w:rsidRDefault="00032A5B" w:rsidP="00032A5B">
      <w:pPr>
        <w:pStyle w:val="NormalWeb"/>
        <w:jc w:val="both"/>
        <w:rPr>
          <w:sz w:val="20"/>
        </w:rPr>
      </w:pPr>
      <w:r>
        <w:rPr>
          <w:sz w:val="20"/>
        </w:rPr>
        <w:t xml:space="preserve">The sort of robust political debate encouraged by the First Amendment is bound to produce speech that is critical of those who hold public office or those public figures who are "intimately involved in the resolution of important public questions or, by reason of their fame, shape events in areas of concern to society at large." . . . . Justice Frankfurter put it succinctly in Baumgartner v. </w:t>
      </w:r>
      <w:smartTag w:uri="urn:schemas-microsoft-com:office:smarttags" w:element="place">
        <w:smartTag w:uri="urn:schemas-microsoft-com:office:smarttags" w:element="country-region">
          <w:r>
            <w:rPr>
              <w:sz w:val="20"/>
            </w:rPr>
            <w:t>United States</w:t>
          </w:r>
        </w:smartTag>
      </w:smartTag>
      <w:r>
        <w:rPr>
          <w:sz w:val="20"/>
        </w:rPr>
        <w:t xml:space="preserve">, when he said that "[o]ne of the prerogatives of American citizenship is the right to criticize public men and measures." Such criticism, inevitably, will not always be reasoned or moderate; public figures as well as public officials will be subject to "vehement, caustic, and sometimes unpleasantly sharp attacks," New York Times, supra, at 270. . . .  </w:t>
      </w:r>
    </w:p>
    <w:p w:rsidR="00032A5B" w:rsidRDefault="00032A5B" w:rsidP="00032A5B">
      <w:pPr>
        <w:pStyle w:val="NormalWeb"/>
        <w:jc w:val="both"/>
        <w:rPr>
          <w:sz w:val="20"/>
        </w:rPr>
      </w:pPr>
      <w:r>
        <w:rPr>
          <w:sz w:val="20"/>
        </w:rPr>
        <w:t xml:space="preserve">Of course, this does not mean that any speech about a public figure is immune from sanction in the form of damages. Since New York Times Co. v. Sullivan, we have consistently ruled that a public figure may hold a speaker liable for the damage to reputation caused by publication of a defamatory falsehood, but only if the statement was made "with knowledge that it was false or with reckless disregard of whether it was false or not." </w:t>
      </w:r>
      <w:smartTag w:uri="urn:schemas-microsoft-com:office:smarttags" w:element="place">
        <w:smartTag w:uri="urn:schemas-microsoft-com:office:smarttags" w:element="State">
          <w:r>
            <w:rPr>
              <w:sz w:val="20"/>
            </w:rPr>
            <w:t>Id.</w:t>
          </w:r>
        </w:smartTag>
      </w:smartTag>
      <w:r>
        <w:rPr>
          <w:sz w:val="20"/>
        </w:rPr>
        <w:t xml:space="preserve">, at 279-280. False statements of fact are particularly valueless; they interfere with the truth-seeking function of the marketplace of ideas, and they cause damage to an individual's reputation that cannot easily be repaired by counterspeech, however persuasive or effective. . . .  But even though falsehoods have little value in and of themselves, they are "nevertheless inevitable in free debate," id., at 340, and a rule that would impose strict liability on a publisher for false factual assertions would have an undoubted "chilling" effect on speech relating to public figures that does have constitutional value. "Freedoms of expression require "`breathing space.'" . . .   This breathing space is provided by a constitutional rule that allows public figures to recover for libel or defamation only when they can prove both that the statement was false and that the statement was made with the requisite level of culpability. </w:t>
      </w:r>
    </w:p>
    <w:p w:rsidR="00032A5B" w:rsidRDefault="00032A5B" w:rsidP="00032A5B">
      <w:pPr>
        <w:pStyle w:val="NormalWeb"/>
        <w:jc w:val="both"/>
        <w:rPr>
          <w:sz w:val="20"/>
        </w:rPr>
      </w:pPr>
      <w:r>
        <w:rPr>
          <w:sz w:val="20"/>
        </w:rPr>
        <w:t xml:space="preserve">Respondent argues, however, that a different standard should apply in this case because here the State seeks to prevent not reputational damage, but the severe emotional distress suffered by the person who is the subject of an offensive publication. . . . .  In respondent's view, and in the view of the Court of Appeals, so long as the utterance was intended to inflict emotional distress, was outrageous, and did in fact inflict serious emotional distress, it is of no constitutional import whether the statement was a fact or an opinion, or whether it was true or false. It is the intent to cause injury that is the gravamen of the tort, and the State's interest in preventing emotional harm simply outweighs whatever interest a speaker may have in speech of this type. </w:t>
      </w:r>
    </w:p>
    <w:p w:rsidR="00032A5B" w:rsidRDefault="00032A5B" w:rsidP="00032A5B">
      <w:pPr>
        <w:jc w:val="both"/>
      </w:pPr>
      <w:r>
        <w:t xml:space="preserve">Generally speaking the law does not regard the intent to inflict emotional distress as one which should receive much solicitude, and it is quite understandable that most if not all jurisdictions have chosen to make it civilly culpable where </w:t>
      </w:r>
      <w:r>
        <w:lastRenderedPageBreak/>
        <w:t xml:space="preserve">the conduct in question is sufficiently "outrageous." But in the world of debate about public affairs, many things done with motives that are less than admirable are protected by the First Amendment. . . . </w:t>
      </w:r>
    </w:p>
    <w:p w:rsidR="00032A5B" w:rsidRDefault="00032A5B" w:rsidP="00032A5B">
      <w:pPr>
        <w:jc w:val="both"/>
      </w:pPr>
    </w:p>
    <w:p w:rsidR="00032A5B" w:rsidRDefault="00032A5B" w:rsidP="00032A5B">
      <w:pPr>
        <w:jc w:val="both"/>
      </w:pPr>
      <w:r>
        <w:t>Respondent contends, however, that the caricature in question here was so "outrageous" as to distinguish it from more traditional political cartoons. There is no doubt that the caricature of respondent and his mother published in Hustler is at best a distant cousin of the political cartoons described above, and a rather poor relation at that. If it were possible by laying down a principled standard to separate the one from the other, public discourse would probably suffer little or no harm. But we doubt that there is any such standard, and we are quite sure that the pejorative description "outrageous" does not supply one. "Outrageousness" in the area of political and social discourse has an inherent subjectiveness about it which would allow a jury to impose liability on the basis of the jurors' tastes or views, or perhaps on the basis of their dislike of a particular expression. An "outrageousness" standard thus runs afoul of our longstanding refusal to allow damages to be awarded because the speech in question may have an adverse emotional impact on the audience. . . .   "[T]he fact that society may find speech offensive is not a sufficient reason for suppressing it.  Indeed, if it is the speaker's opinion that gives offense, that consequence is a reason for according it constitutional protection.</w:t>
      </w:r>
      <w:r>
        <w:rPr>
          <w:color w:val="005500"/>
        </w:rPr>
        <w:t xml:space="preserve">  </w:t>
      </w:r>
      <w:r>
        <w:t xml:space="preserve">For it is a central tenet of the First Amendment that the government must remain neutral in the marketplace of ideas."  . . . . . </w:t>
      </w:r>
    </w:p>
    <w:p w:rsidR="00032A5B" w:rsidRDefault="00032A5B" w:rsidP="00032A5B">
      <w:pPr>
        <w:pStyle w:val="NormalWeb"/>
        <w:jc w:val="both"/>
        <w:rPr>
          <w:sz w:val="20"/>
        </w:rPr>
      </w:pPr>
      <w:r>
        <w:rPr>
          <w:sz w:val="20"/>
        </w:rPr>
        <w:t xml:space="preserve">We conclude that public figures and public officials may not recover for the tort of intentional infliction of emotional distress by reason of publications such as the one here at issue without showing in addition that the publication contains a false statement of fact which was made with "actual malice," i. e., with knowledge that the statement was false or with reckless disregard as to whether or not it was true. . . . </w:t>
      </w:r>
    </w:p>
    <w:p w:rsidR="00032A5B" w:rsidRDefault="00032A5B" w:rsidP="00032A5B">
      <w:pPr>
        <w:pStyle w:val="NormalWeb"/>
        <w:jc w:val="both"/>
        <w:rPr>
          <w:sz w:val="20"/>
        </w:rPr>
      </w:pPr>
      <w:r>
        <w:rPr>
          <w:sz w:val="20"/>
        </w:rPr>
        <w:t xml:space="preserve">Here it is clear that respondent Falwell is a "public figure" for purposes of First Amendment law. fn5  The jury found against respondent on his libel claim when it decided that the Hustler ad parody could not "reasonably be understood as describing actual facts about [respondent] or actual events in which [he] participated.". . . The Court of Appeals interpreted the jury's finding to be that the ad parody "was not reasonably believable," and in accordance with our custom we accept this finding.  Respondent is thus relegated to his claim for damages awarded by the jury for the intentional infliction of emotional distress by "outrageous" conduct.  But for reasons heretofore stated this claim cannot, consistently with the First Amendment, form a basis for the award of damages when the conduct in question is the publication of a caricature such as the ad parody involved here. The judgment of the Court of Appeals is accordingly Reversed. </w:t>
      </w:r>
    </w:p>
    <w:p w:rsidR="00032A5B" w:rsidRDefault="00032A5B" w:rsidP="00032A5B">
      <w:pPr>
        <w:jc w:val="both"/>
      </w:pPr>
      <w:r>
        <w:t xml:space="preserve">JUSTICE KENNEDY took no part in the consideration or decision of this case. </w:t>
      </w:r>
    </w:p>
    <w:p w:rsidR="00032A5B" w:rsidRDefault="00032A5B" w:rsidP="00032A5B">
      <w:pPr>
        <w:jc w:val="both"/>
      </w:pPr>
    </w:p>
    <w:p w:rsidR="00032A5B" w:rsidRDefault="00032A5B" w:rsidP="00032A5B">
      <w:pPr>
        <w:jc w:val="both"/>
      </w:pPr>
    </w:p>
    <w:p w:rsidR="00032A5B" w:rsidRDefault="00032A5B" w:rsidP="00032A5B">
      <w:pPr>
        <w:jc w:val="both"/>
      </w:pPr>
    </w:p>
    <w:p w:rsidR="00032A5B" w:rsidRDefault="00032A5B" w:rsidP="00032A5B">
      <w:pPr>
        <w:pStyle w:val="Heading3"/>
        <w:ind w:left="0" w:firstLine="0"/>
        <w:jc w:val="both"/>
        <w:rPr>
          <w:sz w:val="20"/>
        </w:rPr>
      </w:pPr>
      <w:r>
        <w:rPr>
          <w:sz w:val="20"/>
        </w:rPr>
        <w:t xml:space="preserve">Footnotes </w:t>
      </w:r>
    </w:p>
    <w:p w:rsidR="00032A5B" w:rsidRDefault="00032A5B" w:rsidP="00032A5B">
      <w:pPr>
        <w:pStyle w:val="NormalWeb"/>
        <w:jc w:val="both"/>
        <w:rPr>
          <w:sz w:val="20"/>
        </w:rPr>
      </w:pPr>
      <w:r>
        <w:rPr>
          <w:sz w:val="20"/>
        </w:rPr>
        <w:t xml:space="preserve">Footnote 3   Under Virginia law, in an action for intentional infliction of emotional distress a plaintiff must show that the defendant's conduct (1) is intentional or reckless; (2) offends generally accepted standards of decency or morality; (3) is causally connected with the plaintiff's emotional distress; and (4) caused emotional distress that was severe. </w:t>
      </w:r>
    </w:p>
    <w:p w:rsidR="00032A5B" w:rsidRPr="006B3120" w:rsidRDefault="00032A5B" w:rsidP="00032A5B">
      <w:pPr>
        <w:pStyle w:val="NormalWeb"/>
        <w:jc w:val="both"/>
        <w:rPr>
          <w:sz w:val="20"/>
        </w:rPr>
      </w:pPr>
      <w:r>
        <w:rPr>
          <w:sz w:val="20"/>
        </w:rPr>
        <w:t xml:space="preserve">Footnote 5   Neither party disputes this conclusion. Respondent is the host of a nationally syndicated television show and was the founder and president of a political organization formerly known as the Moral Majority. He is also the founder of </w:t>
      </w:r>
      <w:smartTag w:uri="urn:schemas-microsoft-com:office:smarttags" w:element="PlaceName">
        <w:r>
          <w:rPr>
            <w:sz w:val="20"/>
          </w:rPr>
          <w:t>Liberty</w:t>
        </w:r>
      </w:smartTag>
      <w:r>
        <w:rPr>
          <w:sz w:val="20"/>
        </w:rPr>
        <w:t xml:space="preserve"> </w:t>
      </w:r>
      <w:smartTag w:uri="urn:schemas-microsoft-com:office:smarttags" w:element="PlaceType">
        <w:r>
          <w:rPr>
            <w:sz w:val="20"/>
          </w:rPr>
          <w:t>University</w:t>
        </w:r>
      </w:smartTag>
      <w:r>
        <w:rPr>
          <w:sz w:val="20"/>
        </w:rPr>
        <w:t xml:space="preserve"> in </w:t>
      </w:r>
      <w:smartTag w:uri="urn:schemas-microsoft-com:office:smarttags" w:element="place">
        <w:smartTag w:uri="urn:schemas-microsoft-com:office:smarttags" w:element="City">
          <w:r>
            <w:rPr>
              <w:sz w:val="20"/>
            </w:rPr>
            <w:t>Lynchburg</w:t>
          </w:r>
        </w:smartTag>
        <w:r>
          <w:rPr>
            <w:sz w:val="20"/>
          </w:rPr>
          <w:t xml:space="preserve">, </w:t>
        </w:r>
        <w:smartTag w:uri="urn:schemas-microsoft-com:office:smarttags" w:element="State">
          <w:r>
            <w:rPr>
              <w:sz w:val="20"/>
            </w:rPr>
            <w:t>Virginia</w:t>
          </w:r>
        </w:smartTag>
      </w:smartTag>
      <w:r>
        <w:rPr>
          <w:sz w:val="20"/>
        </w:rPr>
        <w:t>, and is the author of several books and publications.</w:t>
      </w:r>
    </w:p>
    <w:p w:rsidR="00032A5B" w:rsidRPr="00891152" w:rsidRDefault="00032A5B" w:rsidP="00032A5B">
      <w:pPr>
        <w:ind w:left="1200" w:right="1200"/>
        <w:jc w:val="center"/>
        <w:rPr>
          <w:bCs/>
        </w:rPr>
      </w:pPr>
      <w:r>
        <w:br w:type="page"/>
      </w:r>
      <w:r w:rsidRPr="00891152">
        <w:rPr>
          <w:bCs/>
        </w:rPr>
        <w:lastRenderedPageBreak/>
        <w:t>Jeff Roach et al., Appellants, v. Howard Stern et al., Respondents.</w:t>
      </w:r>
    </w:p>
    <w:p w:rsidR="00032A5B" w:rsidRPr="00891152" w:rsidRDefault="00032A5B" w:rsidP="00032A5B">
      <w:pPr>
        <w:rPr>
          <w:bCs/>
        </w:rPr>
      </w:pPr>
    </w:p>
    <w:p w:rsidR="00032A5B" w:rsidRPr="00891152" w:rsidRDefault="00032A5B" w:rsidP="00032A5B">
      <w:pPr>
        <w:ind w:left="1200" w:right="1200"/>
        <w:jc w:val="center"/>
        <w:rPr>
          <w:bCs/>
        </w:rPr>
      </w:pPr>
      <w:r>
        <w:rPr>
          <w:bCs/>
        </w:rPr>
        <w:t>Supreme Court o</w:t>
      </w:r>
      <w:r w:rsidRPr="00891152">
        <w:rPr>
          <w:bCs/>
        </w:rPr>
        <w:t>f New York, Appellate Division</w:t>
      </w:r>
    </w:p>
    <w:p w:rsidR="00032A5B" w:rsidRPr="00891152" w:rsidRDefault="00032A5B" w:rsidP="00032A5B">
      <w:pPr>
        <w:rPr>
          <w:bCs/>
        </w:rPr>
      </w:pPr>
    </w:p>
    <w:p w:rsidR="00032A5B" w:rsidRPr="00891152" w:rsidRDefault="00032A5B" w:rsidP="00032A5B">
      <w:pPr>
        <w:ind w:left="1200" w:right="1200"/>
        <w:jc w:val="center"/>
        <w:rPr>
          <w:bCs/>
        </w:rPr>
      </w:pPr>
      <w:r w:rsidRPr="00891152">
        <w:rPr>
          <w:bCs/>
        </w:rPr>
        <w:t>252 A.D.2d 488</w:t>
      </w:r>
      <w:r>
        <w:rPr>
          <w:bCs/>
        </w:rPr>
        <w:t>;</w:t>
      </w:r>
      <w:r w:rsidRPr="00891152">
        <w:rPr>
          <w:bCs/>
          <w:color w:val="000000"/>
        </w:rPr>
        <w:t xml:space="preserve"> 675 N.Y.S.2d 133</w:t>
      </w:r>
    </w:p>
    <w:p w:rsidR="00032A5B" w:rsidRPr="00891152" w:rsidRDefault="00032A5B" w:rsidP="00032A5B">
      <w:pPr>
        <w:rPr>
          <w:bCs/>
        </w:rPr>
      </w:pPr>
    </w:p>
    <w:p w:rsidR="00032A5B" w:rsidRPr="00891152" w:rsidRDefault="00032A5B" w:rsidP="00032A5B">
      <w:pPr>
        <w:ind w:left="1200" w:right="1200"/>
        <w:jc w:val="center"/>
        <w:rPr>
          <w:bCs/>
        </w:rPr>
      </w:pPr>
      <w:smartTag w:uri="urn:schemas-microsoft-com:office:smarttags" w:element="date">
        <w:smartTagPr>
          <w:attr w:name="ls" w:val="trans"/>
          <w:attr w:name="Month" w:val="1"/>
          <w:attr w:name="Day" w:val="9"/>
          <w:attr w:name="Year" w:val="1998"/>
        </w:smartTagPr>
        <w:r w:rsidRPr="00891152">
          <w:rPr>
            <w:bCs/>
          </w:rPr>
          <w:t>January 9, 1998</w:t>
        </w:r>
      </w:smartTag>
      <w:r w:rsidRPr="00891152">
        <w:rPr>
          <w:bCs/>
        </w:rPr>
        <w:t xml:space="preserve">, Argued  </w:t>
      </w:r>
    </w:p>
    <w:p w:rsidR="00032A5B" w:rsidRPr="00891152" w:rsidRDefault="00032A5B" w:rsidP="00032A5B">
      <w:pPr>
        <w:ind w:left="1200" w:right="1200"/>
        <w:jc w:val="center"/>
        <w:rPr>
          <w:bCs/>
        </w:rPr>
      </w:pPr>
      <w:smartTag w:uri="urn:schemas-microsoft-com:office:smarttags" w:element="date">
        <w:smartTagPr>
          <w:attr w:name="ls" w:val="trans"/>
          <w:attr w:name="Month" w:val="7"/>
          <w:attr w:name="Day" w:val="6"/>
          <w:attr w:name="Year" w:val="1998"/>
        </w:smartTagPr>
        <w:r w:rsidRPr="00891152">
          <w:rPr>
            <w:bCs/>
          </w:rPr>
          <w:t>July 6, 1998</w:t>
        </w:r>
      </w:smartTag>
      <w:r w:rsidRPr="00891152">
        <w:rPr>
          <w:bCs/>
        </w:rPr>
        <w:t xml:space="preserve">, Decided </w:t>
      </w:r>
    </w:p>
    <w:p w:rsidR="00032A5B" w:rsidRPr="00891152" w:rsidRDefault="00032A5B" w:rsidP="00032A5B">
      <w:pPr>
        <w:rPr>
          <w:bCs/>
        </w:rPr>
      </w:pPr>
    </w:p>
    <w:p w:rsidR="00032A5B" w:rsidRPr="00891152" w:rsidRDefault="00032A5B" w:rsidP="00032A5B">
      <w:pPr>
        <w:rPr>
          <w:bCs/>
        </w:rPr>
      </w:pPr>
    </w:p>
    <w:p w:rsidR="00032A5B" w:rsidRPr="00891152" w:rsidRDefault="00032A5B" w:rsidP="00032A5B">
      <w:pPr>
        <w:jc w:val="both"/>
      </w:pPr>
      <w:r w:rsidRPr="00891152">
        <w:rPr>
          <w:bCs/>
        </w:rPr>
        <w:t xml:space="preserve">PRIOR HISTORY: </w:t>
      </w:r>
      <w:r w:rsidR="003A3780">
        <w:t xml:space="preserve"> In an action </w:t>
      </w:r>
      <w:r w:rsidRPr="00891152">
        <w:t xml:space="preserve">to recover damages for the intentional infliction of emotional distress, the plaintiffs appeal from an order of the Supreme Court, Kings County (Huttner, J.), dated </w:t>
      </w:r>
      <w:smartTag w:uri="urn:schemas-microsoft-com:office:smarttags" w:element="date">
        <w:smartTagPr>
          <w:attr w:name="ls" w:val="trans"/>
          <w:attr w:name="Month" w:val="1"/>
          <w:attr w:name="Day" w:val="13"/>
          <w:attr w:name="Year" w:val="1997"/>
        </w:smartTagPr>
        <w:r w:rsidRPr="00891152">
          <w:t>January 13, 1997</w:t>
        </w:r>
      </w:smartTag>
      <w:r w:rsidRPr="00891152">
        <w:t>, which granted the motion by the defendants Howard Stern and Infinity B</w:t>
      </w:r>
      <w:r>
        <w:t>roadcasting, Inc.</w:t>
      </w:r>
      <w:r w:rsidRPr="00891152">
        <w:t xml:space="preserve"> to dismiss the complaint.  </w:t>
      </w:r>
    </w:p>
    <w:p w:rsidR="00032A5B" w:rsidRDefault="00032A5B" w:rsidP="00032A5B">
      <w:pPr>
        <w:jc w:val="both"/>
        <w:rPr>
          <w:bCs/>
        </w:rPr>
      </w:pPr>
    </w:p>
    <w:p w:rsidR="00032A5B" w:rsidRPr="00891152" w:rsidRDefault="00032A5B" w:rsidP="00032A5B">
      <w:pPr>
        <w:jc w:val="both"/>
      </w:pPr>
      <w:r w:rsidRPr="00891152">
        <w:rPr>
          <w:bCs/>
        </w:rPr>
        <w:t xml:space="preserve">JUDGES: </w:t>
      </w:r>
      <w:r w:rsidRPr="00891152">
        <w:t xml:space="preserve">O'Brien, J. P., Santucci and Florio, JJ., concur.  </w:t>
      </w:r>
    </w:p>
    <w:p w:rsidR="00032A5B" w:rsidRDefault="00032A5B" w:rsidP="00032A5B">
      <w:pPr>
        <w:jc w:val="both"/>
        <w:rPr>
          <w:bCs/>
        </w:rPr>
      </w:pPr>
    </w:p>
    <w:p w:rsidR="00032A5B" w:rsidRPr="00891152" w:rsidRDefault="00032A5B" w:rsidP="00032A5B">
      <w:pPr>
        <w:jc w:val="both"/>
        <w:rPr>
          <w:bCs/>
        </w:rPr>
      </w:pPr>
      <w:r w:rsidRPr="00891152">
        <w:rPr>
          <w:bCs/>
        </w:rPr>
        <w:t>OPINION</w:t>
      </w:r>
      <w:r>
        <w:rPr>
          <w:bCs/>
        </w:rPr>
        <w:t>:</w:t>
      </w:r>
    </w:p>
    <w:p w:rsidR="00032A5B" w:rsidRPr="00891152" w:rsidRDefault="00032A5B" w:rsidP="00032A5B">
      <w:pPr>
        <w:spacing w:before="120"/>
        <w:jc w:val="both"/>
      </w:pPr>
      <w:r w:rsidRPr="00891152">
        <w:t xml:space="preserve">Ordered that the order is reversed, with costs, the motion is denied, and the complaint is reinstated. </w:t>
      </w:r>
    </w:p>
    <w:p w:rsidR="00032A5B" w:rsidRPr="00891152" w:rsidRDefault="00032A5B" w:rsidP="00032A5B">
      <w:pPr>
        <w:spacing w:before="120"/>
        <w:jc w:val="both"/>
      </w:pPr>
      <w:r w:rsidRPr="00891152">
        <w:t xml:space="preserve">This lawsuit concerns events that occurred during a radio show hosted by the defendant Howard Stern, which was videotaped and later aired on a cable television station.  The participants in the program handled and made crude remarks about the cremated remains of the plaintiffs' sister, Deborah Roach.  We conclude that the plaintiffs have sufficiently pleaded a cause of action to recover damages for the intentional infliction of emotional distress and therefore the Supreme Court erred in dismissing their complaint. </w:t>
      </w:r>
    </w:p>
    <w:p w:rsidR="00032A5B" w:rsidRPr="00891152" w:rsidRDefault="00032A5B" w:rsidP="00032A5B">
      <w:pPr>
        <w:spacing w:before="120"/>
        <w:jc w:val="both"/>
      </w:pPr>
      <w:r w:rsidRPr="00891152">
        <w:t xml:space="preserve">The deceased, Deborah Roach, who used the name Debbie Tay, was described in a newspaper article following her death as a topless dancer, cable-access TV host, and perennial guest on Howard Stern's radio show.  Stern gave her the label "Space Lesbian" based on her stories of encounters with aliens.  After Tay's death in April 1995 her sister, the plaintiff Melissa Roach Driscol, had the body cremated and gave a portion of the remains to the defendant Chaunce Hayden, Tay's close friend.  Driscol asserted that she did so with the understanding that Hayden would "preserve and honor said remains in an appropriate and private manner". </w:t>
      </w:r>
    </w:p>
    <w:p w:rsidR="00032A5B" w:rsidRPr="00891152" w:rsidRDefault="00032A5B" w:rsidP="00032A5B">
      <w:pPr>
        <w:spacing w:before="120"/>
        <w:jc w:val="both"/>
      </w:pPr>
      <w:r w:rsidRPr="00891152">
        <w:t xml:space="preserve">According to the complaint, sometime in July 1995 Hayden engaged in certain "on air" conversations with Stern during his radio show about </w:t>
      </w:r>
      <w:smartTag w:uri="urn:schemas-microsoft-com:office:smarttags" w:element="place">
        <w:r w:rsidRPr="00891152">
          <w:t>Tay</w:t>
        </w:r>
      </w:smartTag>
      <w:r w:rsidRPr="00891152">
        <w:t xml:space="preserve">'s death and the disposition of her remains.  Upon learning that Stern had encouraged Hayden to appear on the radio show and to bring </w:t>
      </w:r>
      <w:smartTag w:uri="urn:schemas-microsoft-com:office:smarttags" w:element="place">
        <w:r w:rsidRPr="00891152">
          <w:t>Tay</w:t>
        </w:r>
      </w:smartTag>
      <w:r w:rsidRPr="00891152">
        <w:t xml:space="preserve">'s remains with him, her brother, the plaintiff Jeff Roach, telephoned the producer of the show and the manager of the radio station to demand that such conversations cease.  Nevertheless, on </w:t>
      </w:r>
      <w:smartTag w:uri="urn:schemas-microsoft-com:office:smarttags" w:element="date">
        <w:smartTagPr>
          <w:attr w:name="ls" w:val="trans"/>
          <w:attr w:name="Month" w:val="7"/>
          <w:attr w:name="Day" w:val="18"/>
          <w:attr w:name="Year" w:val="1995"/>
        </w:smartTagPr>
        <w:r w:rsidRPr="00891152">
          <w:t>July 18, 1995</w:t>
        </w:r>
      </w:smartTag>
      <w:r w:rsidRPr="00891152">
        <w:t xml:space="preserve">, Hayden brought a box containing </w:t>
      </w:r>
      <w:smartTag w:uri="urn:schemas-microsoft-com:office:smarttags" w:element="place">
        <w:r w:rsidRPr="00891152">
          <w:t>Tay</w:t>
        </w:r>
      </w:smartTag>
      <w:r w:rsidRPr="00891152">
        <w:t xml:space="preserve">'s cremated remains to the radio station. Thereafter Stern, Hayden, and other participants in the broadcast made comments about the remains while handling various bone fragments.  The radio show was videotaped and later broadcast on a national cable television station. </w:t>
      </w:r>
    </w:p>
    <w:p w:rsidR="00032A5B" w:rsidRPr="00891152" w:rsidRDefault="00032A5B" w:rsidP="00032A5B">
      <w:pPr>
        <w:spacing w:before="120"/>
        <w:jc w:val="both"/>
      </w:pPr>
      <w:r w:rsidRPr="00891152">
        <w:t xml:space="preserve">The transcript and videotape of the show, which were made available to the court, corroborate the allegations in the complaint that Stern at one point donned rubber gloves and held up certain bone fragments while he guessed whether they came from </w:t>
      </w:r>
      <w:smartTag w:uri="urn:schemas-microsoft-com:office:smarttags" w:element="place">
        <w:r w:rsidRPr="00891152">
          <w:t>Tay</w:t>
        </w:r>
      </w:smartTag>
      <w:r w:rsidRPr="00891152">
        <w:t xml:space="preserve">'s skull or ribs. The on-air discussion included the following: </w:t>
      </w:r>
    </w:p>
    <w:p w:rsidR="00032A5B" w:rsidRPr="00891152" w:rsidRDefault="00032A5B" w:rsidP="00032A5B">
      <w:pPr>
        <w:spacing w:before="120"/>
        <w:jc w:val="both"/>
      </w:pPr>
      <w:r w:rsidRPr="00891152">
        <w:t xml:space="preserve">"VOICE: What's in the bottom? </w:t>
      </w:r>
    </w:p>
    <w:p w:rsidR="00032A5B" w:rsidRPr="00891152" w:rsidRDefault="00032A5B" w:rsidP="00032A5B">
      <w:pPr>
        <w:spacing w:before="120"/>
        <w:jc w:val="both"/>
      </w:pPr>
      <w:r w:rsidRPr="00891152">
        <w:t xml:space="preserve">"C. HAYDEN: They look like clam shells. </w:t>
      </w:r>
    </w:p>
    <w:p w:rsidR="00032A5B" w:rsidRPr="00891152" w:rsidRDefault="00032A5B" w:rsidP="00032A5B">
      <w:pPr>
        <w:spacing w:before="120"/>
        <w:jc w:val="both"/>
      </w:pPr>
      <w:r w:rsidRPr="00891152">
        <w:t xml:space="preserve">"ROBIN QUIVERS: Boy, that's wild. </w:t>
      </w:r>
    </w:p>
    <w:p w:rsidR="00032A5B" w:rsidRPr="00891152" w:rsidRDefault="00032A5B" w:rsidP="00032A5B">
      <w:pPr>
        <w:spacing w:before="120"/>
        <w:jc w:val="both"/>
      </w:pPr>
      <w:r w:rsidRPr="00891152">
        <w:t xml:space="preserve">"VOICE: Dig down.  That's not normal, is it? </w:t>
      </w:r>
    </w:p>
    <w:p w:rsidR="00032A5B" w:rsidRPr="00891152" w:rsidRDefault="00032A5B" w:rsidP="00032A5B">
      <w:pPr>
        <w:spacing w:before="120"/>
        <w:jc w:val="both"/>
      </w:pPr>
      <w:r w:rsidRPr="00891152">
        <w:t xml:space="preserve">"H. STERN: Chew on it, Chaunce. </w:t>
      </w:r>
    </w:p>
    <w:p w:rsidR="00032A5B" w:rsidRPr="00891152" w:rsidRDefault="00032A5B" w:rsidP="00032A5B">
      <w:pPr>
        <w:spacing w:before="120"/>
        <w:jc w:val="both"/>
      </w:pPr>
      <w:r w:rsidRPr="00891152">
        <w:t xml:space="preserve">"R. QUIVERS: There you go. </w:t>
      </w:r>
    </w:p>
    <w:p w:rsidR="00032A5B" w:rsidRPr="00891152" w:rsidRDefault="00032A5B" w:rsidP="00032A5B">
      <w:pPr>
        <w:spacing w:before="120"/>
        <w:jc w:val="both"/>
      </w:pPr>
      <w:r w:rsidRPr="00891152">
        <w:t xml:space="preserve">"VOICE: What's it taste like? </w:t>
      </w:r>
    </w:p>
    <w:p w:rsidR="00032A5B" w:rsidRPr="00891152" w:rsidRDefault="00032A5B" w:rsidP="00032A5B">
      <w:pPr>
        <w:spacing w:before="120"/>
        <w:jc w:val="both"/>
      </w:pPr>
      <w:r w:rsidRPr="00891152">
        <w:t xml:space="preserve">"VOICE: It tastes like Cracker Jacks, maybe there's a prize in the bottom. </w:t>
      </w:r>
    </w:p>
    <w:p w:rsidR="00032A5B" w:rsidRPr="00891152" w:rsidRDefault="00032A5B" w:rsidP="00032A5B">
      <w:pPr>
        <w:spacing w:before="120"/>
        <w:jc w:val="both"/>
      </w:pPr>
      <w:r w:rsidRPr="00891152">
        <w:t xml:space="preserve">"R. QUIVERS: Boy oh boy, yeah, you're not kidding Chaunce. </w:t>
      </w:r>
    </w:p>
    <w:p w:rsidR="00032A5B" w:rsidRPr="00891152" w:rsidRDefault="00032A5B" w:rsidP="00032A5B">
      <w:pPr>
        <w:spacing w:before="120"/>
        <w:jc w:val="both"/>
      </w:pPr>
      <w:r w:rsidRPr="00891152">
        <w:lastRenderedPageBreak/>
        <w:t xml:space="preserve">"H. STERN: Look at the hunks. </w:t>
      </w:r>
    </w:p>
    <w:p w:rsidR="00032A5B" w:rsidRPr="00891152" w:rsidRDefault="00032A5B" w:rsidP="00032A5B">
      <w:pPr>
        <w:spacing w:before="120"/>
        <w:jc w:val="both"/>
      </w:pPr>
      <w:r w:rsidRPr="00891152">
        <w:t xml:space="preserve">"R. QUIVERS: Woooooh! </w:t>
      </w:r>
    </w:p>
    <w:p w:rsidR="00032A5B" w:rsidRPr="00891152" w:rsidRDefault="00032A5B" w:rsidP="00032A5B">
      <w:pPr>
        <w:spacing w:before="120"/>
        <w:jc w:val="both"/>
      </w:pPr>
      <w:r w:rsidRPr="00891152">
        <w:t xml:space="preserve">"H. STERN: Come here, I'll glue her together, give me that, Robin.  Let me see that. </w:t>
      </w:r>
    </w:p>
    <w:p w:rsidR="00032A5B" w:rsidRPr="00891152" w:rsidRDefault="00032A5B" w:rsidP="00032A5B">
      <w:pPr>
        <w:spacing w:before="120"/>
        <w:jc w:val="both"/>
      </w:pPr>
      <w:r w:rsidRPr="00891152">
        <w:t xml:space="preserve">"R. QUIVERS: I'm shaking her bones. </w:t>
      </w:r>
    </w:p>
    <w:p w:rsidR="00032A5B" w:rsidRPr="00891152" w:rsidRDefault="00032A5B" w:rsidP="00032A5B">
      <w:pPr>
        <w:spacing w:before="120"/>
        <w:jc w:val="both"/>
      </w:pPr>
      <w:r w:rsidRPr="00891152">
        <w:t xml:space="preserve">"C. HAYDEN: Shake, rattle and roll. </w:t>
      </w:r>
    </w:p>
    <w:p w:rsidR="00032A5B" w:rsidRPr="00891152" w:rsidRDefault="00032A5B" w:rsidP="00032A5B">
      <w:pPr>
        <w:spacing w:before="120"/>
        <w:jc w:val="both"/>
      </w:pPr>
      <w:r w:rsidRPr="00891152">
        <w:t xml:space="preserve">"VOICE: Want me to get some Krazy Glue? </w:t>
      </w:r>
    </w:p>
    <w:p w:rsidR="00032A5B" w:rsidRPr="00891152" w:rsidRDefault="00032A5B" w:rsidP="00032A5B">
      <w:pPr>
        <w:spacing w:before="120"/>
        <w:jc w:val="both"/>
      </w:pPr>
      <w:r w:rsidRPr="00891152">
        <w:t xml:space="preserve">"H. STERN: Let me see this. </w:t>
      </w:r>
    </w:p>
    <w:p w:rsidR="00032A5B" w:rsidRPr="00891152" w:rsidRDefault="00032A5B" w:rsidP="00032A5B">
      <w:pPr>
        <w:spacing w:before="120"/>
        <w:jc w:val="both"/>
      </w:pPr>
      <w:r w:rsidRPr="00891152">
        <w:t xml:space="preserve">"(H. STERN PICKS UP A PIECE) </w:t>
      </w:r>
    </w:p>
    <w:p w:rsidR="00032A5B" w:rsidRPr="00891152" w:rsidRDefault="00032A5B" w:rsidP="00032A5B">
      <w:pPr>
        <w:spacing w:before="120"/>
        <w:jc w:val="both"/>
      </w:pPr>
      <w:r w:rsidRPr="00891152">
        <w:t xml:space="preserve">"VOICE: It's easy ... the leg bone's connected to the ... </w:t>
      </w:r>
    </w:p>
    <w:p w:rsidR="00032A5B" w:rsidRPr="00891152" w:rsidRDefault="00032A5B" w:rsidP="00032A5B">
      <w:pPr>
        <w:spacing w:before="120"/>
        <w:jc w:val="both"/>
      </w:pPr>
      <w:r w:rsidRPr="00891152">
        <w:t xml:space="preserve">"H. STERN: Look at the size of this!  That looks like a piece of her head. </w:t>
      </w:r>
    </w:p>
    <w:p w:rsidR="00032A5B" w:rsidRPr="00891152" w:rsidRDefault="00032A5B" w:rsidP="00032A5B">
      <w:pPr>
        <w:spacing w:before="120"/>
        <w:jc w:val="both"/>
      </w:pPr>
      <w:r w:rsidRPr="00891152">
        <w:t xml:space="preserve">"R. QUIVERS: I don't know, I've never seen an actual skull bone, that looks awfully thick. </w:t>
      </w:r>
    </w:p>
    <w:p w:rsidR="00032A5B" w:rsidRPr="00891152" w:rsidRDefault="00032A5B" w:rsidP="00032A5B">
      <w:pPr>
        <w:spacing w:before="120"/>
        <w:jc w:val="both"/>
      </w:pPr>
      <w:r w:rsidRPr="00891152">
        <w:t xml:space="preserve">"VOICE: Looks like a potato or something ... </w:t>
      </w:r>
    </w:p>
    <w:p w:rsidR="00032A5B" w:rsidRPr="00891152" w:rsidRDefault="00032A5B" w:rsidP="00032A5B">
      <w:pPr>
        <w:spacing w:before="120"/>
        <w:jc w:val="both"/>
      </w:pPr>
      <w:r w:rsidRPr="00891152">
        <w:t xml:space="preserve">"C. HAYDEN: It's not normal ... </w:t>
      </w:r>
    </w:p>
    <w:p w:rsidR="00032A5B" w:rsidRPr="00891152" w:rsidRDefault="00032A5B" w:rsidP="00032A5B">
      <w:pPr>
        <w:spacing w:before="120"/>
        <w:jc w:val="both"/>
      </w:pPr>
      <w:r w:rsidRPr="00891152">
        <w:t xml:space="preserve">"H. STERN: Heh!  Heh!  Heh!  Heh!, Chaunce, watch your language, huh dude!?  Rob, here you want to hold Debbie?  C'mon man, you like her. </w:t>
      </w:r>
    </w:p>
    <w:p w:rsidR="00032A5B" w:rsidRPr="00891152" w:rsidRDefault="00032A5B" w:rsidP="00032A5B">
      <w:pPr>
        <w:spacing w:before="120"/>
        <w:jc w:val="both"/>
      </w:pPr>
      <w:r w:rsidRPr="00891152">
        <w:t xml:space="preserve">"VOICE: Oh man! </w:t>
      </w:r>
    </w:p>
    <w:p w:rsidR="00032A5B" w:rsidRPr="00891152" w:rsidRDefault="00032A5B" w:rsidP="00032A5B">
      <w:pPr>
        <w:spacing w:before="120"/>
        <w:jc w:val="both"/>
      </w:pPr>
      <w:r w:rsidRPr="00891152">
        <w:t xml:space="preserve">"R. QUIVERS: What's wrong with you, Ralph? </w:t>
      </w:r>
    </w:p>
    <w:p w:rsidR="00032A5B" w:rsidRPr="00891152" w:rsidRDefault="00032A5B" w:rsidP="00032A5B">
      <w:pPr>
        <w:spacing w:before="120"/>
        <w:jc w:val="both"/>
      </w:pPr>
      <w:r w:rsidRPr="00891152">
        <w:t xml:space="preserve">"VOICE: Ralph made this so Chaunce could wear it around his neck. </w:t>
      </w:r>
    </w:p>
    <w:p w:rsidR="00032A5B" w:rsidRPr="00891152" w:rsidRDefault="00032A5B" w:rsidP="00032A5B">
      <w:pPr>
        <w:spacing w:before="120"/>
        <w:jc w:val="both"/>
      </w:pPr>
      <w:r w:rsidRPr="00891152">
        <w:t xml:space="preserve">"H. STERN: A big bag. </w:t>
      </w:r>
    </w:p>
    <w:p w:rsidR="00032A5B" w:rsidRPr="00891152" w:rsidRDefault="00032A5B" w:rsidP="00032A5B">
      <w:pPr>
        <w:spacing w:before="120"/>
        <w:jc w:val="both"/>
      </w:pPr>
      <w:r w:rsidRPr="00891152">
        <w:t xml:space="preserve">"R. QUIVERS: Bag. </w:t>
      </w:r>
    </w:p>
    <w:p w:rsidR="00032A5B" w:rsidRPr="00891152" w:rsidRDefault="00032A5B" w:rsidP="00032A5B">
      <w:pPr>
        <w:spacing w:before="120"/>
        <w:jc w:val="both"/>
      </w:pPr>
      <w:r w:rsidRPr="00891152">
        <w:t>"H. STERN: Hey Chaunce, why don't you wear that plastic bag around your neck?  You can carry Debbie with you.  It would be a big necklace, look at that.  There she</w:t>
      </w:r>
      <w:r>
        <w:t xml:space="preserve"> is, what do you think that is</w:t>
      </w:r>
      <w:r w:rsidRPr="00891152">
        <w:t xml:space="preserve"> though?  Let me see if I can piece it to</w:t>
      </w:r>
      <w:r>
        <w:t>gether.</w:t>
      </w:r>
    </w:p>
    <w:p w:rsidR="00032A5B" w:rsidRPr="00891152" w:rsidRDefault="00032A5B" w:rsidP="00032A5B">
      <w:pPr>
        <w:spacing w:before="120"/>
        <w:jc w:val="both"/>
      </w:pPr>
      <w:r w:rsidRPr="00891152">
        <w:t xml:space="preserve">"VOICE: Its gotta be a piece of skull, doesn't it Robin? </w:t>
      </w:r>
    </w:p>
    <w:p w:rsidR="00032A5B" w:rsidRPr="00891152" w:rsidRDefault="00032A5B" w:rsidP="00032A5B">
      <w:pPr>
        <w:spacing w:before="120"/>
        <w:jc w:val="both"/>
      </w:pPr>
      <w:r w:rsidRPr="00891152">
        <w:t xml:space="preserve">"R. QUIVERS: I've never seen how thick the skull is. </w:t>
      </w:r>
    </w:p>
    <w:p w:rsidR="00032A5B" w:rsidRPr="00891152" w:rsidRDefault="00032A5B" w:rsidP="00032A5B">
      <w:pPr>
        <w:spacing w:before="120"/>
        <w:jc w:val="both"/>
      </w:pPr>
      <w:r w:rsidRPr="00891152">
        <w:t xml:space="preserve">"H. STERN: Alright, hold it, hold ... Ralph hold up this picture of Debbie so I can ... </w:t>
      </w:r>
    </w:p>
    <w:p w:rsidR="00032A5B" w:rsidRPr="00891152" w:rsidRDefault="00032A5B" w:rsidP="00032A5B">
      <w:pPr>
        <w:spacing w:before="120"/>
        <w:jc w:val="both"/>
      </w:pPr>
      <w:r w:rsidRPr="00891152">
        <w:t xml:space="preserve">"R. QUIVERS: It's awfully thick. </w:t>
      </w:r>
    </w:p>
    <w:p w:rsidR="00032A5B" w:rsidRPr="00891152" w:rsidRDefault="00032A5B" w:rsidP="00032A5B">
      <w:pPr>
        <w:spacing w:before="120"/>
        <w:jc w:val="both"/>
      </w:pPr>
      <w:r w:rsidRPr="00891152">
        <w:t xml:space="preserve">"H. STERN: Alright, let's see, this matches ... </w:t>
      </w:r>
    </w:p>
    <w:p w:rsidR="00032A5B" w:rsidRPr="00891152" w:rsidRDefault="00032A5B" w:rsidP="00032A5B">
      <w:pPr>
        <w:spacing w:before="120"/>
        <w:jc w:val="both"/>
      </w:pPr>
      <w:r w:rsidRPr="00891152">
        <w:t xml:space="preserve">"C. HAYDEN: Well, she was very thickboned. </w:t>
      </w:r>
    </w:p>
    <w:p w:rsidR="00032A5B" w:rsidRPr="00891152" w:rsidRDefault="00032A5B" w:rsidP="00032A5B">
      <w:pPr>
        <w:spacing w:before="120"/>
        <w:jc w:val="both"/>
      </w:pPr>
      <w:r w:rsidRPr="00891152">
        <w:t xml:space="preserve">"VOICE: That's gotta be her teeth. </w:t>
      </w:r>
    </w:p>
    <w:p w:rsidR="00032A5B" w:rsidRPr="00891152" w:rsidRDefault="00032A5B" w:rsidP="00032A5B">
      <w:pPr>
        <w:spacing w:before="120"/>
        <w:jc w:val="both"/>
      </w:pPr>
      <w:r w:rsidRPr="00891152">
        <w:t xml:space="preserve">"VOICE: That's her head, that's a piece of her teeth. </w:t>
      </w:r>
    </w:p>
    <w:p w:rsidR="00032A5B" w:rsidRPr="00891152" w:rsidRDefault="00032A5B" w:rsidP="00032A5B">
      <w:pPr>
        <w:spacing w:before="120"/>
        <w:jc w:val="both"/>
      </w:pPr>
      <w:r w:rsidRPr="00891152">
        <w:t xml:space="preserve">"VOICE: Here's a temple. </w:t>
      </w:r>
    </w:p>
    <w:p w:rsidR="00032A5B" w:rsidRPr="00891152" w:rsidRDefault="00032A5B" w:rsidP="00032A5B">
      <w:pPr>
        <w:spacing w:before="120"/>
        <w:jc w:val="both"/>
      </w:pPr>
      <w:r w:rsidRPr="00891152">
        <w:t xml:space="preserve">"R. QUIVERS: But it's not rounded, why would you say that ... </w:t>
      </w:r>
    </w:p>
    <w:p w:rsidR="00032A5B" w:rsidRPr="00891152" w:rsidRDefault="00032A5B" w:rsidP="00032A5B">
      <w:pPr>
        <w:spacing w:before="120"/>
        <w:jc w:val="both"/>
      </w:pPr>
      <w:r w:rsidRPr="00891152">
        <w:t xml:space="preserve">"H. STERN: She had a square jaw.  This looks like the breast, oh wait, here's her tooth. </w:t>
      </w:r>
    </w:p>
    <w:p w:rsidR="00032A5B" w:rsidRPr="00891152" w:rsidRDefault="00032A5B" w:rsidP="00032A5B">
      <w:pPr>
        <w:spacing w:before="120"/>
        <w:jc w:val="both"/>
      </w:pPr>
      <w:r w:rsidRPr="00891152">
        <w:t xml:space="preserve">"R. QUIVERS: Why don't you think there are any teeth? </w:t>
      </w:r>
    </w:p>
    <w:p w:rsidR="00032A5B" w:rsidRPr="00891152" w:rsidRDefault="00032A5B" w:rsidP="00032A5B">
      <w:pPr>
        <w:spacing w:before="120"/>
        <w:jc w:val="both"/>
      </w:pPr>
      <w:r w:rsidRPr="00891152">
        <w:t xml:space="preserve">"H. STERN: What do you think this is, this looks like her ribs. What do you think this is, Chaunce? </w:t>
      </w:r>
    </w:p>
    <w:p w:rsidR="00032A5B" w:rsidRPr="00891152" w:rsidRDefault="00032A5B" w:rsidP="00032A5B">
      <w:pPr>
        <w:spacing w:before="120"/>
        <w:jc w:val="both"/>
      </w:pPr>
      <w:r w:rsidRPr="00891152">
        <w:t xml:space="preserve">"voice: I say it's a rib. It's a rib. Yeah, it's a rib. </w:t>
      </w:r>
    </w:p>
    <w:p w:rsidR="00032A5B" w:rsidRPr="00891152" w:rsidRDefault="00032A5B" w:rsidP="00032A5B">
      <w:pPr>
        <w:spacing w:before="120"/>
        <w:jc w:val="both"/>
      </w:pPr>
      <w:r w:rsidRPr="00891152">
        <w:t xml:space="preserve">"R. QUIVERS: Yeah, look at that curve. </w:t>
      </w:r>
    </w:p>
    <w:p w:rsidR="00032A5B" w:rsidRPr="00891152" w:rsidRDefault="00032A5B" w:rsidP="00032A5B">
      <w:pPr>
        <w:spacing w:before="120"/>
        <w:jc w:val="both"/>
      </w:pPr>
      <w:r w:rsidRPr="00891152">
        <w:lastRenderedPageBreak/>
        <w:t xml:space="preserve">"H. STERN: That's a rib? Oh yeah, wow, she was a piece of ash. Alright, very good.  Alright, there you go, very good. </w:t>
      </w:r>
    </w:p>
    <w:p w:rsidR="00032A5B" w:rsidRPr="00891152" w:rsidRDefault="00032A5B" w:rsidP="00032A5B">
      <w:pPr>
        <w:spacing w:before="120"/>
        <w:jc w:val="both"/>
      </w:pPr>
      <w:r w:rsidRPr="00891152">
        <w:t xml:space="preserve">"R. QUIVERS: Man. </w:t>
      </w:r>
    </w:p>
    <w:p w:rsidR="00032A5B" w:rsidRPr="00891152" w:rsidRDefault="00032A5B" w:rsidP="00032A5B">
      <w:pPr>
        <w:spacing w:before="120"/>
        <w:jc w:val="both"/>
      </w:pPr>
      <w:r w:rsidRPr="00891152">
        <w:t>"VOICE: Are there an</w:t>
      </w:r>
      <w:r>
        <w:t>y bigger pieces on the bottom?"</w:t>
      </w:r>
    </w:p>
    <w:p w:rsidR="00032A5B" w:rsidRPr="00891152" w:rsidRDefault="00032A5B" w:rsidP="00032A5B">
      <w:pPr>
        <w:spacing w:before="120"/>
        <w:jc w:val="both"/>
      </w:pPr>
      <w:r w:rsidRPr="00891152">
        <w:t xml:space="preserve">The plaintiffs commenced this action against Stern, Infinity Broadcasting, Inc. (hereinafter Infinity), the owner of the radio station, and Hayden, in which they alleged, </w:t>
      </w:r>
      <w:r w:rsidRPr="00891152">
        <w:rPr>
          <w:i/>
          <w:iCs/>
        </w:rPr>
        <w:t>inter alia,</w:t>
      </w:r>
      <w:r w:rsidRPr="00891152">
        <w:t xml:space="preserve"> that the defendants' conduct caused them severe emotional distress. Stern and Infinity moved to dismiss the complaint pursuant</w:t>
      </w:r>
      <w:r>
        <w:t xml:space="preserve">. . .  </w:t>
      </w:r>
      <w:r w:rsidRPr="00891152">
        <w:t xml:space="preserve">on the ground that the allegations failed to state a cause of action. The Supreme Court granted the motion and dismissed the complaint. </w:t>
      </w:r>
    </w:p>
    <w:p w:rsidR="00032A5B" w:rsidRPr="00891152" w:rsidRDefault="00032A5B" w:rsidP="00032A5B">
      <w:pPr>
        <w:spacing w:before="120"/>
        <w:jc w:val="both"/>
      </w:pPr>
      <w:r w:rsidRPr="00891152">
        <w:t>We agree with the Supreme Court that the allegations in the complaint fail to state a cause of action against the moving defendants to recover damages for interference with or mishandling of a corpse.  In general,  such a cause of action requires a showing of interference with the right of the next-of-kin to dispose of the body</w:t>
      </w:r>
      <w:r>
        <w:t>. . . .</w:t>
      </w:r>
      <w:r w:rsidRPr="00891152">
        <w:t xml:space="preserve"> The moving defendants did not interfere with the plaintiffs' decision to cremate the body an</w:t>
      </w:r>
      <w:r>
        <w:t>d divide the ashes with Hayden.</w:t>
      </w:r>
    </w:p>
    <w:p w:rsidR="00032A5B" w:rsidRPr="00572336" w:rsidRDefault="00032A5B" w:rsidP="00032A5B">
      <w:pPr>
        <w:spacing w:before="120"/>
        <w:jc w:val="both"/>
      </w:pPr>
      <w:r w:rsidRPr="00891152">
        <w:t>The Supreme Court further determined that, while the conduct complained of in the complaint was "vulgar and disrespectful", it did not rise to the level of outrageousness necessary to maintain a cause of action to recover damages for the intentional infliction of emotional distress.  In order to impose liability for this intentional tort, the conduct complained of must be " 'so outrageous in character, and so extreme in degree, as to go beyond all possible bounds of decency, and to be regarded as atrocious, and utterly intolerable in a civilized community' ". The element of outrageous</w:t>
      </w:r>
      <w:r w:rsidRPr="00572336">
        <w:t xml:space="preserve"> conduct is " 'rigorous, and difficult to satisfy' ", and its purpose is to filter out trivial complaints and assure that the claim of severe emotional distress is genuine.  A court may determine, as a matter of law, that the alleged behavior is not sufficiently outrageous to warrant the imposition of liability. </w:t>
      </w:r>
    </w:p>
    <w:p w:rsidR="00032A5B" w:rsidRPr="00572336" w:rsidRDefault="00032A5B" w:rsidP="00032A5B">
      <w:pPr>
        <w:spacing w:before="120"/>
        <w:jc w:val="both"/>
      </w:pPr>
      <w:r w:rsidRPr="00572336">
        <w:t>Upon our review of the allegations in the case at bar, we conclude that the Supreme Court erred in determining that the element of outrageous conduct was not satisfied as a matter of law.  Although the defendants contend that the conduct at issue was not particularly shocking, in light of Stern's reputation for vulgar humor and Tay's actions during her guest appearances on his program, a jury might reasonably conclude that the manner in which Tay's remains were handled, for entertainment purposes and against the express wishes of her family, went beyond the bounds of decent behavior.</w:t>
      </w:r>
    </w:p>
    <w:p w:rsidR="00032A5B" w:rsidRPr="00572336" w:rsidRDefault="00032A5B" w:rsidP="00032A5B">
      <w:pPr>
        <w:spacing w:before="120"/>
        <w:jc w:val="both"/>
      </w:pPr>
      <w:r w:rsidRPr="00572336">
        <w:t xml:space="preserve">We further conclude that the remaining elements necessary to establish a cause of action to recover damages for the intentional infliction of emotional distress were also sufficiently pleaded in the complaint. </w:t>
      </w:r>
    </w:p>
    <w:p w:rsidR="00032A5B" w:rsidRPr="00572336" w:rsidRDefault="00032A5B" w:rsidP="00032A5B">
      <w:pPr>
        <w:spacing w:before="120"/>
        <w:jc w:val="both"/>
      </w:pPr>
      <w:r w:rsidRPr="00572336">
        <w:t xml:space="preserve">Accordingly, the appellants' motion to dismiss the complaint is denied. </w:t>
      </w:r>
      <w:r w:rsidR="003A3780">
        <w:t xml:space="preserve">  </w:t>
      </w:r>
      <w:r w:rsidRPr="00572336">
        <w:t xml:space="preserve">O'Brien, J. P., Santucci and Florio, JJ., concur.  </w:t>
      </w:r>
    </w:p>
    <w:p w:rsidR="00032A5B" w:rsidRDefault="00032A5B" w:rsidP="00032A5B">
      <w:pPr>
        <w:jc w:val="both"/>
      </w:pPr>
    </w:p>
    <w:p w:rsidR="003A3780" w:rsidRPr="00572336" w:rsidRDefault="003A3780" w:rsidP="00032A5B">
      <w:pPr>
        <w:jc w:val="both"/>
      </w:pPr>
    </w:p>
    <w:p w:rsidR="00032A5B" w:rsidRPr="00572336" w:rsidRDefault="00032A5B" w:rsidP="00032A5B">
      <w:pPr>
        <w:jc w:val="both"/>
      </w:pPr>
      <w:r w:rsidRPr="00572336">
        <w:rPr>
          <w:bCs/>
        </w:rPr>
        <w:t xml:space="preserve">DISSENT BY: </w:t>
      </w:r>
      <w:r w:rsidR="003A3780">
        <w:rPr>
          <w:bCs/>
        </w:rPr>
        <w:t xml:space="preserve"> </w:t>
      </w:r>
      <w:r w:rsidRPr="00572336">
        <w:t xml:space="preserve">KRAUSMAN </w:t>
      </w:r>
    </w:p>
    <w:p w:rsidR="00032A5B" w:rsidRDefault="00032A5B" w:rsidP="00032A5B">
      <w:pPr>
        <w:spacing w:before="120"/>
        <w:jc w:val="both"/>
      </w:pPr>
      <w:r w:rsidRPr="00572336">
        <w:t xml:space="preserve">Krausman, J., Dissents and votes to affirm the order appealed from, with the following memorandum: </w:t>
      </w:r>
    </w:p>
    <w:p w:rsidR="00032A5B" w:rsidRPr="00572336" w:rsidRDefault="00032A5B" w:rsidP="00032A5B">
      <w:pPr>
        <w:spacing w:before="120"/>
        <w:jc w:val="both"/>
      </w:pPr>
      <w:r w:rsidRPr="00572336">
        <w:t xml:space="preserve">The majority decision amply demonstrates that Howard Stern and his cohorts behaved in a manner that some would find inappropriate when Chaunce Hayden came on the show with the decedent's remains.  Certainly, many would consider their remarks and conduct in handling the decedent's remains tasteless, offensive, and insensitive to the feelings of the plaintiffs, who lost their sister to a drug overdose at the age of 27.  However, I disagree with the majority's view that Stern's actions give rise to a cognizable legal right to recover damages for emotional distress. </w:t>
      </w:r>
    </w:p>
    <w:p w:rsidR="00032A5B" w:rsidRPr="00572336" w:rsidRDefault="00032A5B" w:rsidP="00032A5B">
      <w:pPr>
        <w:spacing w:before="120"/>
        <w:jc w:val="both"/>
      </w:pPr>
      <w:r w:rsidRPr="00572336">
        <w:t xml:space="preserve">At common law, emotional injury was not recognized as an independent basis for the recovery of damages, primarily because of the ease with which emotional injury could be "feigned without detection". While modern tort law now permits recovery for emotional distress, the historical reluctance to allow damages for purely psychic injury is reflected in the formulation of the tort, which demands a showing that the defendant has engaged in " 'extreme and outrageous conduct' ", with the "intent to cause, or disregard of a substantial possibility of causing, severe emotional distress". </w:t>
      </w:r>
      <w:r>
        <w:t xml:space="preserve">. . . </w:t>
      </w:r>
    </w:p>
    <w:p w:rsidR="00032A5B" w:rsidRPr="00572336" w:rsidRDefault="00032A5B" w:rsidP="00032A5B">
      <w:pPr>
        <w:spacing w:before="120"/>
        <w:jc w:val="both"/>
      </w:pPr>
      <w:r w:rsidRPr="00572336">
        <w:t>In practice, courts have tended to focus on the outrageousness element, the one most susceptible to determination as a matter of law".  Since the requirements of the rule are " 'rigorous, and difficult to satisfy' ", the Court of Appeals noted that every one of the emotional distress claims it had considered had failed because "the alleged conduct was not sufficiently outrageous."  Indeed, " '[l]iability has been found only where the conduct has been so outrageous in character, and so extreme in degree, as to go beyond all possible bounds of decency, and to be regarded as atrocious, and utterly intolerable in a civilized community'</w:t>
      </w:r>
      <w:r>
        <w:t xml:space="preserve">. </w:t>
      </w:r>
      <w:r w:rsidRPr="00572336">
        <w:t>"</w:t>
      </w:r>
    </w:p>
    <w:p w:rsidR="00032A5B" w:rsidRPr="00572336" w:rsidRDefault="00032A5B" w:rsidP="00032A5B">
      <w:pPr>
        <w:spacing w:before="120"/>
        <w:jc w:val="both"/>
      </w:pPr>
      <w:r w:rsidRPr="00572336">
        <w:lastRenderedPageBreak/>
        <w:t xml:space="preserve">The issue of whether the decedent's brother and sister may recover tort damages cannot be considered in a vacuum, with total disregard for who Debbie Tay was.  Debbie Tay rose to fame by spinning outrageous tales of sexual encounters with female aliens on the Howard Stern show, and used the notoriety she had achieved to launch her own cable access show.  While the plaintiffs now claim that Stern's conduct following their sister's untimely death caused them extreme emotional distress, the defendants note that on one occasion, the decedent's own mother appeared on the show, describing her daughter as an unusual young woman who was "a lot of fun". </w:t>
      </w:r>
    </w:p>
    <w:p w:rsidR="003A3780" w:rsidRDefault="00032A5B" w:rsidP="00032A5B">
      <w:pPr>
        <w:pStyle w:val="NormalWeb"/>
        <w:jc w:val="both"/>
        <w:rPr>
          <w:sz w:val="20"/>
          <w:szCs w:val="20"/>
        </w:rPr>
      </w:pPr>
      <w:r w:rsidRPr="00572336">
        <w:rPr>
          <w:sz w:val="20"/>
          <w:szCs w:val="20"/>
        </w:rPr>
        <w:t>The record also reflects the fact that the plaintiff Melissa Roach Driscol voluntarily gave a portion of her sister's remains to the decedent's close friend, the defendant Chaunce Hayden.  Hayden brought the decedent's remains on the air as a memorial to her because "the only happiness Debbie had was the Howard Stern show".  Once on the air, Hayden encouraged cast members to examine the remains, believing that since the decedent had so enjoyed Stern's irreverant brand of humor during her lifetime, she "would love this".  Although the plaintiffs allege that the show's producer ignored their request to cease discussing the disposition of the remains, there is no indication that Stern or Infinity acted out of a desire to cause the plaintiffs distress.  Indeed, at the end of the show, Stern advised Hayden that he should have the decedent's remains properly buried or turned into ashes, telling him to "remember her in your mind".  Closing credits announced that the show was "dedicated in loving memory of Debbie Tay".  Considering these circumstances, I would find, as a matter of law, that the conduct of Stern and Infinity was not so extreme and outrageous in nature as to be "utterly intol</w:t>
      </w:r>
      <w:r>
        <w:rPr>
          <w:sz w:val="20"/>
          <w:szCs w:val="20"/>
        </w:rPr>
        <w:t>erable in a civilized community.</w:t>
      </w:r>
      <w:r w:rsidRPr="00572336">
        <w:rPr>
          <w:sz w:val="20"/>
          <w:szCs w:val="20"/>
        </w:rPr>
        <w:t>"</w:t>
      </w:r>
    </w:p>
    <w:p w:rsidR="003A3780" w:rsidRDefault="003A3780">
      <w:pPr>
        <w:spacing w:after="160" w:line="259" w:lineRule="auto"/>
        <w:rPr>
          <w:color w:val="000000"/>
        </w:rPr>
      </w:pPr>
      <w:r>
        <w:br w:type="page"/>
      </w:r>
    </w:p>
    <w:p w:rsidR="00032A5B" w:rsidRPr="009D7634" w:rsidRDefault="00032A5B" w:rsidP="00032A5B">
      <w:pPr>
        <w:pStyle w:val="NormalWeb"/>
        <w:jc w:val="both"/>
      </w:pPr>
      <w:r w:rsidRPr="009D7634">
        <w:lastRenderedPageBreak/>
        <w:t>III.</w:t>
      </w:r>
      <w:r w:rsidRPr="009D7634">
        <w:tab/>
        <w:t>Unintentional Torts</w:t>
      </w:r>
    </w:p>
    <w:p w:rsidR="00032A5B" w:rsidRDefault="00032A5B" w:rsidP="00032A5B">
      <w:pPr>
        <w:ind w:left="300" w:right="300"/>
        <w:jc w:val="center"/>
      </w:pPr>
      <w:r>
        <w:rPr>
          <w:sz w:val="32"/>
        </w:rPr>
        <w:br w:type="page"/>
      </w:r>
      <w:r>
        <w:lastRenderedPageBreak/>
        <w:t xml:space="preserve">Helen Palsgraf, Respondent, v. The </w:t>
      </w:r>
      <w:smartTag w:uri="urn:schemas-microsoft-com:office:smarttags" w:element="place">
        <w:r>
          <w:t>Long Island</w:t>
        </w:r>
      </w:smartTag>
      <w:r>
        <w:t xml:space="preserve"> Railroad</w:t>
      </w:r>
    </w:p>
    <w:p w:rsidR="00032A5B" w:rsidRDefault="00032A5B" w:rsidP="00032A5B">
      <w:pPr>
        <w:ind w:left="300" w:right="300"/>
        <w:jc w:val="center"/>
      </w:pPr>
      <w:r>
        <w:t>Company, Appellant</w:t>
      </w:r>
    </w:p>
    <w:p w:rsidR="00032A5B" w:rsidRDefault="00032A5B" w:rsidP="00032A5B">
      <w:pPr>
        <w:ind w:left="300" w:right="300"/>
        <w:jc w:val="center"/>
      </w:pPr>
    </w:p>
    <w:p w:rsidR="00032A5B" w:rsidRDefault="00032A5B" w:rsidP="00032A5B">
      <w:pPr>
        <w:ind w:left="300" w:right="300"/>
        <w:jc w:val="center"/>
      </w:pPr>
      <w:r>
        <w:t xml:space="preserve">Court of Appeals of </w:t>
      </w:r>
      <w:smartTag w:uri="urn:schemas-microsoft-com:office:smarttags" w:element="place">
        <w:smartTag w:uri="urn:schemas-microsoft-com:office:smarttags" w:element="State">
          <w:r>
            <w:t>New York</w:t>
          </w:r>
        </w:smartTag>
      </w:smartTag>
    </w:p>
    <w:p w:rsidR="00032A5B" w:rsidRDefault="00032A5B" w:rsidP="00032A5B">
      <w:pPr>
        <w:ind w:left="300" w:right="300"/>
        <w:jc w:val="center"/>
      </w:pPr>
    </w:p>
    <w:p w:rsidR="00032A5B" w:rsidRDefault="00032A5B" w:rsidP="00032A5B">
      <w:pPr>
        <w:ind w:left="300" w:right="300"/>
        <w:jc w:val="center"/>
      </w:pPr>
      <w:r>
        <w:t>248 N.Y. 339; 162 N.E. 99; 1928</w:t>
      </w:r>
    </w:p>
    <w:p w:rsidR="00032A5B" w:rsidRDefault="00032A5B" w:rsidP="00032A5B">
      <w:pPr>
        <w:ind w:left="300" w:right="300"/>
        <w:jc w:val="center"/>
      </w:pPr>
    </w:p>
    <w:p w:rsidR="00032A5B" w:rsidRDefault="00032A5B" w:rsidP="00032A5B">
      <w:pPr>
        <w:ind w:left="300" w:right="300"/>
        <w:jc w:val="center"/>
      </w:pPr>
      <w:smartTag w:uri="urn:schemas-microsoft-com:office:smarttags" w:element="date">
        <w:smartTagPr>
          <w:attr w:name="Month" w:val="5"/>
          <w:attr w:name="Day" w:val="29"/>
          <w:attr w:name="Year" w:val="1928"/>
        </w:smartTagPr>
        <w:smartTag w:uri="urn:schemas-microsoft-com:office:smarttags" w:element="date">
          <w:smartTagPr>
            <w:attr w:name="Year" w:val="19"/>
            <w:attr w:name="Day" w:val="29"/>
            <w:attr w:name="Month" w:val="5"/>
            <w:attr w:name="ls" w:val="trans"/>
          </w:smartTagPr>
          <w:r>
            <w:t>May 29, 19</w:t>
          </w:r>
        </w:smartTag>
        <w:r>
          <w:t>28</w:t>
        </w:r>
      </w:smartTag>
      <w:r>
        <w:t>, Decided</w:t>
      </w:r>
    </w:p>
    <w:p w:rsidR="00032A5B" w:rsidRDefault="00032A5B" w:rsidP="00032A5B">
      <w:pPr>
        <w:ind w:left="300" w:right="300"/>
        <w:jc w:val="both"/>
      </w:pPr>
    </w:p>
    <w:p w:rsidR="00032A5B" w:rsidRDefault="00032A5B" w:rsidP="00032A5B">
      <w:pPr>
        <w:ind w:left="300" w:right="300"/>
        <w:jc w:val="both"/>
      </w:pPr>
    </w:p>
    <w:p w:rsidR="00032A5B" w:rsidRDefault="00032A5B" w:rsidP="00032A5B">
      <w:pPr>
        <w:jc w:val="both"/>
      </w:pPr>
      <w:r>
        <w:t xml:space="preserve">JUDGES: </w:t>
      </w:r>
      <w:smartTag w:uri="urn:schemas-microsoft-com:office:smarttags" w:element="place">
        <w:smartTag w:uri="urn:schemas-microsoft-com:office:smarttags" w:element="City">
          <w:r>
            <w:t>Cardozo</w:t>
          </w:r>
        </w:smartTag>
        <w:r>
          <w:t xml:space="preserve">, </w:t>
        </w:r>
        <w:smartTag w:uri="urn:schemas-microsoft-com:office:smarttags" w:element="country-region">
          <w:r>
            <w:t>Ch.</w:t>
          </w:r>
        </w:smartTag>
      </w:smartTag>
      <w:r>
        <w:t xml:space="preserve"> J.  Pound, Lehman and Kellogg, JJ., concur with Cardozo, Ch. J.; Andrews, J., dissents in opinion in which Crane and O'Brien, JJ., concur.  </w:t>
      </w:r>
    </w:p>
    <w:p w:rsidR="00032A5B" w:rsidRDefault="00032A5B" w:rsidP="00032A5B">
      <w:pPr>
        <w:jc w:val="both"/>
      </w:pPr>
    </w:p>
    <w:p w:rsidR="00032A5B" w:rsidRDefault="00032A5B" w:rsidP="00032A5B">
      <w:pPr>
        <w:jc w:val="both"/>
      </w:pPr>
      <w:r>
        <w:t xml:space="preserve">OPINION BY: CARDOZO  </w:t>
      </w:r>
    </w:p>
    <w:p w:rsidR="00032A5B" w:rsidRDefault="00032A5B" w:rsidP="00032A5B">
      <w:pPr>
        <w:jc w:val="both"/>
      </w:pPr>
    </w:p>
    <w:p w:rsidR="00032A5B" w:rsidRDefault="00032A5B" w:rsidP="00032A5B">
      <w:pPr>
        <w:jc w:val="both"/>
      </w:pPr>
      <w:r>
        <w:t xml:space="preserve">   Plaintiff was standing on a platform of defendant's railroad after buying a ticket to go to </w:t>
      </w:r>
      <w:smartTag w:uri="urn:schemas-microsoft-com:office:smarttags" w:element="place">
        <w:smartTag w:uri="urn:schemas-microsoft-com:office:smarttags" w:element="PlaceName">
          <w:r>
            <w:t>Rockaway</w:t>
          </w:r>
        </w:smartTag>
        <w:r>
          <w:t xml:space="preserve"> </w:t>
        </w:r>
        <w:smartTag w:uri="urn:schemas-microsoft-com:office:smarttags" w:element="PlaceType">
          <w:r>
            <w:t>Beach</w:t>
          </w:r>
        </w:smartTag>
      </w:smartTag>
      <w:r>
        <w:t xml:space="preserve">.  A train stopped at the station, bound for another place.  Two men ran forward to catch it.  One of the men reached the platform of the car without mishap, though the train was already moving.  The other man, carrying a package, jumped aboard the car, but seemed unsteady as if about to fall.  A guard on the car, who had held the door open, reached forward to help him in, and another guard on the platform pushed him from behind.  In this act, the package was dislodged, and fell upon the rails.  It was a package of small size, about fifteen inches long, and was covered by a newspaper.  In fact it contained fireworks, but there was nothing in its appearance to give notice of its contents.  The fireworks when they fell exploded.  The shock of the explosion threw down some scales at the other end of the platform, many feet away.  The scales struck the plaintiff, causing injuries for which she sues.  </w:t>
      </w:r>
    </w:p>
    <w:p w:rsidR="00032A5B" w:rsidRDefault="00032A5B" w:rsidP="00032A5B">
      <w:pPr>
        <w:jc w:val="both"/>
      </w:pPr>
    </w:p>
    <w:p w:rsidR="00032A5B" w:rsidRDefault="00032A5B" w:rsidP="00032A5B">
      <w:pPr>
        <w:pStyle w:val="BodyText2"/>
      </w:pPr>
      <w:r>
        <w:t xml:space="preserve">   The conduct of the defendant's guard, if a wrong in its relation to the holder of the package, was not a wrong in its relation to the plaintiff, standing far away.  Relatively to her it was not negligence at all.  Nothing in the situation gave notice that the falling package had in it the potency of peril to persons thus removed.  Negligence is not actionable unless it involves the invasion of a legally protected interest, the violation of a right.  "Proof of negligence in the air, so to speak, will not do" (Pollock, Torts [11th ed.], p. 455.  The plaintiff as she stood upon the platform of the station might claim to be protected against intentional invasion of her bodily security. Such invasion is not charged.  She might claim to be protected against unintentional invasion by conduct involving in the thought of reasonable men an unreasonable hazard that such invasion would ensue.  These, from the point of view of the law, were the bounds of her immunity, with perhaps some rare exceptions, survivals for the most part of ancient forms of liability, where conduct is held to be at the peril of the actor.  If no hazard was apparent to the eye of ordinary vigilance, an act innocent and harmless, at least to outward seeming, with reference to her, did not take to itself the quality of a tort because it happened to be a  wrong, though apparently  not one involving the risk of bodily insecurity, with reference to some one else.  "In every instance, before negligence can be predicated of a given act, back of the act must be sought and found a duty to the individual complaining, the observance of which would have averted or avoided the injury."  The plaintiff sues in her own right for a wrong personal to her, and not as the vicarious beneficiary of a breach of duty to another.  </w:t>
      </w:r>
    </w:p>
    <w:p w:rsidR="00032A5B" w:rsidRDefault="00032A5B" w:rsidP="00032A5B">
      <w:pPr>
        <w:jc w:val="both"/>
      </w:pPr>
    </w:p>
    <w:p w:rsidR="00032A5B" w:rsidRDefault="00032A5B" w:rsidP="00032A5B">
      <w:pPr>
        <w:jc w:val="both"/>
      </w:pPr>
      <w:r>
        <w:t xml:space="preserve">   A different conclusion will involve us, and swiftly too, in a maze of contradictions.  A guard stumbles over a package which has been left upon a platform.  It seems to be a bundle of newspapers.  It turns out to be a can of dynamite.  To the eye of ordinary vigilance, the bundle is abandoned waste, which may be kicked or trod on with impunity.  Is a passenger at the other end of the platform protected by the law against the unsuspected hazard concealed beneath the waste?  If not, is the result to be any different, so far as the distant passenger is concerned, when the guard stumbles over a valise which a truckman or a porter has left upon the walk?  The passenger far away, if the victim of a wrong at all, has a cause of action, not derivative, but original and primary.  His claim to be protected against invasion of his bodily security is neither greater nor less because the act resulting in the invasion is a wrong to another far removed.  In this case, the rights that are said to have been violated, the interests said to have been invaded, are not even of the same order.  The man was not injured in his person nor even put in danger.  The purpose of the act, as well as its effect, was to make his person safe. If there was a wrong to him at all, which may very well be doubted, it was a wrong to a property interest only, the safety of his package.  Out of this wrong to property, which threatened injury to nothing else, there has passed, we are told, to the plaintiff by derivation or succession a right of action for the invasion of an interest of another order, the right to bodily security.  The diversity of interests emphasizes the futility of the effort to build the plaintiff's right upon the basis of a </w:t>
      </w:r>
      <w:r>
        <w:lastRenderedPageBreak/>
        <w:t xml:space="preserve">wrong to some one else.  The gain is one of emphasis, for a like result would follow if the interests were the same. Even then, the orbit of the danger as disclosed to the eye of reasonable vigilance would be the orbit of the duty. One who jostles one's neighbor in a crowd does not invade the rights of others standing at the outer fringe when the unintended contact casts a bomb upon the ground.  The wrongdoer as to them is the man who carries the bomb, not the one who explodes it without suspicion of the danger.  Life will have to be made over, and human nature transformed, before prevision so extravagant can be accepted as the norm of conduct, the customary standard to which behavior must conform.  </w:t>
      </w:r>
    </w:p>
    <w:p w:rsidR="00032A5B" w:rsidRDefault="00032A5B" w:rsidP="00032A5B">
      <w:pPr>
        <w:jc w:val="both"/>
      </w:pPr>
    </w:p>
    <w:p w:rsidR="00032A5B" w:rsidRDefault="00032A5B" w:rsidP="00032A5B">
      <w:pPr>
        <w:jc w:val="both"/>
      </w:pPr>
      <w:r>
        <w:t xml:space="preserve">   The argument for the plaintiff is built upon the shifting meanings of such words as "wrong" and "wrongful," and shares their instability.  What the plaintiff must show is "a wrong" to herself, i. e., a violation of her own right, and not merely a wrong to some one else, nor conduct "wrongful"  because unsocial, but not "a wrong" to any one.  We are told that one who drives at reckless speed through a crowded city street is guilty of a negligent act and, therefore, of a wrongful one irrespective of the consequences.  Negligent the act is, and wrongful in the sense that it is unsocial, but wrongful and unsocial in relation to other travelers, only because the eye of vigilance perceives the risk of damage.  If the same act were to be committed on a speedway or a race course, it would lose its wrongful quality.  The risk reasonably to be perceived defines the duty to be obeyed, and risk imports relation; it is risk to another or to others within the range of apprehension.  This does not mean, of course, that one who launches a destructive force is always relieved of liability if the force, though known to be destructive, pursues an unexpected path.  "It was not necessary that the defendant should have had notice of the particular method in which an accident would occur, if the possibility of an accident was clear to the ordinarily prudent eye."  Some acts, such as shooting, are so imminently dangerous to any one who may come within reach of the missile, however unexpectedly, as to impose a duty of prevision not far from that of an insurer.  Even today, and much oftener in earlier stages of the law, one acts sometimes at one's peril.  Under this head, it may be, fall certain cases of what is known as transferred intent, an act willfully dangerous to A resulting by misadventure in injury to B.  These cases aside, wrong is defined in terms of the natural or probable, at least when unintentional.  The range of reasonable apprehension is at times a question for the court, and at times, if varying inferences are possible, a question for the jury.  Here, by concession, there was nothing in the situation to suggest to the most cautious mind that the parcel wrapped in newspaper would spread wreckage through the station.  If the guard had thrown it down knowingly and willfully, he would not have threatened the plaintiff's safety, so far as appearances could warn him.  His conduct would not have involved, even then, an unreasonable probability of invasion of her bodily security.  Liability can be no greater where the act is inadvertent.  </w:t>
      </w:r>
    </w:p>
    <w:p w:rsidR="00032A5B" w:rsidRDefault="00032A5B" w:rsidP="00032A5B">
      <w:pPr>
        <w:jc w:val="both"/>
      </w:pPr>
    </w:p>
    <w:p w:rsidR="00032A5B" w:rsidRDefault="00032A5B" w:rsidP="00032A5B">
      <w:pPr>
        <w:jc w:val="both"/>
      </w:pPr>
      <w:r>
        <w:t xml:space="preserve">   Negligence, like risk, is thus a term of relation.  Negligence in the abstract, apart from things related, is surely not a tort, if indeed it is understandable at all.  Negligence is not a tort unless it results in the commission of a wrong, and the commission of a wrong imports the violation of a right, in this case, we are told, the right to be protected against interference with one's bodily security.  But bodily security is protected, not against all forms of interference or aggression, but only against some.  One who seeks redress at law does not make out a cause of action by showing without more that there has been damage to his person.  If the harm was not willful, he must show that the act as to him had possibilities of danger so many and apparent as to entitle him to be protected against the doing of it though the harm was unintended.  Affront to personality is still the keynote of the wrong.  Confirmation of this view will be found in the history and development of the action on the case. Negligence as a basis of civil liability was unknown to mediaeval law.  For damage to the person, the sole remedy was trespass, and trespass did not lie in the absence of aggression, and that direct and personal.  Liability for other damage, as where a servant without orders from the master does or omits something to the damage of another, is a plant of later growth.  When it emerged out of the legal soil, it was thought of as a variant of trespass, an offshoot of the parent stock.  This appears in the form of action, which was known as trespass on the case.  The victim does not sue derivatively, or by right of subrogation, to vindicate an interest invaded in the person of another.  Thus to view his cause of action is to ignore the fundamental difference between tort and crime.  He sues for breach of a duty owing to himself.  </w:t>
      </w:r>
    </w:p>
    <w:p w:rsidR="00032A5B" w:rsidRDefault="00032A5B" w:rsidP="00032A5B">
      <w:pPr>
        <w:jc w:val="both"/>
      </w:pPr>
    </w:p>
    <w:p w:rsidR="00032A5B" w:rsidRDefault="00032A5B" w:rsidP="00032A5B">
      <w:pPr>
        <w:jc w:val="both"/>
      </w:pPr>
      <w:r>
        <w:t xml:space="preserve">   The law of causation, remote or proximate, is thus foreign to the case before us.  The question of liability is always anterior to the question of the measure of the consequences that go with liability.  If there is no tort to be redressed, there is no occasion to consider what damage might be recovered if there were a finding of a tort.  We may assume, without deciding, that negligence, not at large or in the abstract, but in relation to the plaintiff, would entail liability for any and all consequences, however novel or extraordinary.  There is room for argument that a distinction is to be drawn according to the diversity of interests invaded by the act, as where conduct negligent in that it threatens an insignificant invasion of an interest in property results in an unforseeable invasion of an interest of another order, as, e. g., one of bodily security.  Perhaps other distinctions may be necessary.  We do not go into the question now.  The consequences to be followed must first be rooted in a wrong.  </w:t>
      </w:r>
    </w:p>
    <w:p w:rsidR="00032A5B" w:rsidRDefault="00032A5B" w:rsidP="00032A5B">
      <w:pPr>
        <w:jc w:val="both"/>
      </w:pPr>
    </w:p>
    <w:p w:rsidR="00032A5B" w:rsidRDefault="00032A5B" w:rsidP="00032A5B">
      <w:pPr>
        <w:jc w:val="both"/>
      </w:pPr>
      <w:r>
        <w:t xml:space="preserve">   The judgment of the Appellate Division and that of the Trial Term should be reversed, and the complaint dismissed, with costs in all courts.  </w:t>
      </w:r>
    </w:p>
    <w:p w:rsidR="00032A5B" w:rsidRDefault="00032A5B" w:rsidP="00032A5B">
      <w:pPr>
        <w:jc w:val="both"/>
      </w:pPr>
    </w:p>
    <w:p w:rsidR="00032A5B" w:rsidRDefault="00032A5B" w:rsidP="00032A5B">
      <w:pPr>
        <w:jc w:val="both"/>
      </w:pPr>
    </w:p>
    <w:p w:rsidR="00032A5B" w:rsidRDefault="00032A5B" w:rsidP="00032A5B">
      <w:pPr>
        <w:jc w:val="both"/>
      </w:pPr>
      <w:r>
        <w:t xml:space="preserve">DISSENT: Andrews, J. (dissenting).  Assisting a passenger to board a train, the defendant's servant negligently knocked a package from his arms.  It fell between the platform and the cars.  Of its contents the servant knew and could know nothing.  A violent explosion followed.  The concussion broke some scales standing a considerable distance away.  In falling they injured the plaintiff, an intending passenger.  </w:t>
      </w:r>
    </w:p>
    <w:p w:rsidR="00032A5B" w:rsidRDefault="00032A5B" w:rsidP="00032A5B">
      <w:pPr>
        <w:jc w:val="both"/>
      </w:pPr>
    </w:p>
    <w:p w:rsidR="00032A5B" w:rsidRDefault="00032A5B" w:rsidP="00032A5B">
      <w:pPr>
        <w:jc w:val="both"/>
      </w:pPr>
      <w:r>
        <w:t xml:space="preserve">   Upon these facts may she recover the damages she has suffered in an action brought against the master?  The result we shall reach depends upon our theory as to the nature of negligence.  Is it a relative concept -- the breach of some duty owing to a particular person or to particular persons?  Or where  there is an act which unreasonably threatens the safety of others, is the doer liable for all its proximate consequences, even where they result in injury to one who would generally be thought to be outside the radius of danger?  This is not a mere dispute as to words.  We might not believe that to the average mind the dropping of the bundle would seem to involve the probability of harm to the plaintiff standing many feet away whatever might be the case as to the owner or to one so near as to be likely to be struck by its fall.  If, however, we adopt the second hypothesis we have to inquire only as to the relation between cause and effect.  We deal in terms of proximate cause, not of negligence. . . . </w:t>
      </w:r>
    </w:p>
    <w:p w:rsidR="00032A5B" w:rsidRDefault="00032A5B" w:rsidP="00032A5B">
      <w:pPr>
        <w:jc w:val="both"/>
      </w:pPr>
    </w:p>
    <w:p w:rsidR="00032A5B" w:rsidRDefault="00032A5B" w:rsidP="00032A5B">
      <w:pPr>
        <w:jc w:val="both"/>
      </w:pPr>
      <w:r>
        <w:t xml:space="preserve">   The proposition is this.  Every one owes to the world at large the duty of refraining from those acts that may unreasonably threaten the safety of others. Such an act occurs.  Not only is he wronged to whom harm might reasonably be expected to result, but he also who is in fact injured, even if he be outside what would generally be thought the danger zone.  There needs be duty due the one complaining but this is not a duty to a particular individual because as to him harm might be expected.  Harm to some one being the natural result of the act, not only that one alone, but all those in fact injured may complain.  We have never, I think, held otherwise. . . .</w:t>
      </w:r>
    </w:p>
    <w:p w:rsidR="00032A5B" w:rsidRDefault="00032A5B" w:rsidP="00032A5B">
      <w:pPr>
        <w:jc w:val="both"/>
      </w:pPr>
    </w:p>
    <w:p w:rsidR="00032A5B" w:rsidRDefault="00032A5B" w:rsidP="00032A5B">
      <w:pPr>
        <w:jc w:val="both"/>
      </w:pPr>
      <w:r>
        <w:t xml:space="preserve">   What we do mean by the word "proximate" is, that because of convenience, of public policy, of a rough sense of justice, the law arbitrarily declines to trace a series of events beyond a certain point.  This is not logic.  It is practical politics. . . .</w:t>
      </w:r>
    </w:p>
    <w:p w:rsidR="00032A5B" w:rsidRDefault="00032A5B" w:rsidP="00032A5B">
      <w:pPr>
        <w:jc w:val="both"/>
      </w:pPr>
    </w:p>
    <w:p w:rsidR="00032A5B" w:rsidRDefault="00032A5B" w:rsidP="00032A5B">
      <w:pPr>
        <w:jc w:val="both"/>
      </w:pPr>
      <w:r>
        <w:t xml:space="preserve">   The proximate cause, involved as it may be with many other causes, must be, at the least, something without which the event would not happen.  The court must ask itself whether there was a natural and continuous sequence between cause and effect.  Was the one a substantial factor in producing the other?  Was there a direct connection between them, without too many intervening causes?  Is the effect of cause on result not too attentuated?  Is the cause likely, in the usual judgment of mankind, to produce the result?  Or by the exercise of prudent foresight could the result be foreseen?  Is the result too remote from the cause, and here we consider remoteness in time and space. . . . There was no remoteness in time, little in space. And surely, given such an explosion as here it needed no great foresight to predict that the natural result would be to injure one on the platform at no greater distance from its scene than was the plaintiff.  Just how no one might be able to predict.  Whether by flying fragments, by broken glass, by wreckage of machines or structures no one could say.  But injury in some form was most probable.  </w:t>
      </w:r>
    </w:p>
    <w:p w:rsidR="00032A5B" w:rsidRDefault="00032A5B" w:rsidP="00032A5B">
      <w:pPr>
        <w:jc w:val="both"/>
      </w:pPr>
    </w:p>
    <w:p w:rsidR="00032A5B" w:rsidRDefault="00032A5B" w:rsidP="00032A5B">
      <w:pPr>
        <w:jc w:val="both"/>
      </w:pPr>
      <w:r>
        <w:t xml:space="preserve">   Under these circumstances I cannot say as a matter of law that the plaintiff's injuries were not the proximate result of the negligence.  That is all we have before us.  The court refused to so charge.  No request was made to submit the matter to the jury as a question of fact, even would that have been proper upon the record before us.  </w:t>
      </w:r>
    </w:p>
    <w:p w:rsidR="00032A5B" w:rsidRDefault="00032A5B" w:rsidP="00032A5B">
      <w:pPr>
        <w:jc w:val="both"/>
      </w:pPr>
    </w:p>
    <w:p w:rsidR="00032A5B" w:rsidRDefault="00032A5B" w:rsidP="00032A5B">
      <w:pPr>
        <w:spacing w:after="160" w:line="259" w:lineRule="auto"/>
        <w:rPr>
          <w:bCs/>
          <w:color w:val="000000" w:themeColor="text1"/>
        </w:rPr>
      </w:pPr>
      <w:r>
        <w:t xml:space="preserve">   The judgment appealed from should be affirmed, with costs.</w:t>
      </w:r>
      <w:r>
        <w:rPr>
          <w:bCs/>
          <w:color w:val="000000" w:themeColor="text1"/>
        </w:rPr>
        <w:br w:type="page"/>
      </w:r>
    </w:p>
    <w:p w:rsidR="00032A5B" w:rsidRPr="005221EB" w:rsidRDefault="00032A5B" w:rsidP="00032A5B">
      <w:pPr>
        <w:ind w:left="1200" w:right="1200"/>
        <w:jc w:val="center"/>
        <w:rPr>
          <w:bCs/>
          <w:color w:val="000000" w:themeColor="text1"/>
        </w:rPr>
      </w:pPr>
      <w:r w:rsidRPr="005221EB">
        <w:rPr>
          <w:bCs/>
          <w:color w:val="000000" w:themeColor="text1"/>
        </w:rPr>
        <w:lastRenderedPageBreak/>
        <w:t>JOE JAMES, et al., Plaintiffs-Appellants, v. MEOW MEDIA, INC., et al., Defendants-Appellees.</w:t>
      </w:r>
    </w:p>
    <w:p w:rsidR="00032A5B" w:rsidRPr="005221EB" w:rsidRDefault="00032A5B" w:rsidP="00032A5B">
      <w:pPr>
        <w:jc w:val="center"/>
        <w:rPr>
          <w:bCs/>
          <w:color w:val="000000" w:themeColor="text1"/>
        </w:rPr>
      </w:pPr>
    </w:p>
    <w:p w:rsidR="00032A5B" w:rsidRPr="005221EB" w:rsidRDefault="00084C23" w:rsidP="00032A5B">
      <w:pPr>
        <w:ind w:left="1200" w:right="1200"/>
        <w:jc w:val="center"/>
        <w:rPr>
          <w:bCs/>
          <w:color w:val="000000" w:themeColor="text1"/>
        </w:rPr>
      </w:pPr>
      <w:r w:rsidRPr="005221EB">
        <w:rPr>
          <w:bCs/>
          <w:color w:val="000000" w:themeColor="text1"/>
        </w:rPr>
        <w:t xml:space="preserve">United States Court </w:t>
      </w:r>
      <w:r>
        <w:rPr>
          <w:bCs/>
          <w:color w:val="000000" w:themeColor="text1"/>
        </w:rPr>
        <w:t>o</w:t>
      </w:r>
      <w:r w:rsidRPr="005221EB">
        <w:rPr>
          <w:bCs/>
          <w:color w:val="000000" w:themeColor="text1"/>
        </w:rPr>
        <w:t xml:space="preserve">f Appeals </w:t>
      </w:r>
      <w:r>
        <w:rPr>
          <w:bCs/>
          <w:color w:val="000000" w:themeColor="text1"/>
        </w:rPr>
        <w:t>f</w:t>
      </w:r>
      <w:r w:rsidRPr="005221EB">
        <w:rPr>
          <w:bCs/>
          <w:color w:val="000000" w:themeColor="text1"/>
        </w:rPr>
        <w:t xml:space="preserve">or </w:t>
      </w:r>
      <w:r>
        <w:rPr>
          <w:bCs/>
          <w:color w:val="000000" w:themeColor="text1"/>
        </w:rPr>
        <w:t>t</w:t>
      </w:r>
      <w:r w:rsidRPr="005221EB">
        <w:rPr>
          <w:bCs/>
          <w:color w:val="000000" w:themeColor="text1"/>
        </w:rPr>
        <w:t>he Sixth Circuit</w:t>
      </w:r>
    </w:p>
    <w:p w:rsidR="00032A5B" w:rsidRPr="005221EB" w:rsidRDefault="00032A5B" w:rsidP="00032A5B">
      <w:pPr>
        <w:jc w:val="center"/>
        <w:rPr>
          <w:bCs/>
          <w:color w:val="000000" w:themeColor="text1"/>
        </w:rPr>
      </w:pPr>
    </w:p>
    <w:p w:rsidR="00032A5B" w:rsidRPr="005221EB" w:rsidRDefault="00032A5B" w:rsidP="00032A5B">
      <w:pPr>
        <w:ind w:left="1200" w:right="1200"/>
        <w:jc w:val="center"/>
        <w:rPr>
          <w:bCs/>
          <w:color w:val="000000" w:themeColor="text1"/>
        </w:rPr>
      </w:pPr>
      <w:r w:rsidRPr="005221EB">
        <w:rPr>
          <w:bCs/>
          <w:color w:val="000000" w:themeColor="text1"/>
        </w:rPr>
        <w:t>300 F.3d 683</w:t>
      </w:r>
    </w:p>
    <w:p w:rsidR="00032A5B" w:rsidRPr="005221EB" w:rsidRDefault="00032A5B" w:rsidP="00032A5B">
      <w:pPr>
        <w:jc w:val="center"/>
        <w:rPr>
          <w:bCs/>
          <w:color w:val="000000" w:themeColor="text1"/>
        </w:rPr>
      </w:pPr>
    </w:p>
    <w:p w:rsidR="00032A5B" w:rsidRPr="005221EB" w:rsidRDefault="00032A5B" w:rsidP="00032A5B">
      <w:pPr>
        <w:ind w:left="1200" w:right="1200"/>
        <w:jc w:val="center"/>
        <w:rPr>
          <w:bCs/>
          <w:color w:val="000000" w:themeColor="text1"/>
        </w:rPr>
      </w:pPr>
      <w:r>
        <w:rPr>
          <w:bCs/>
          <w:color w:val="000000" w:themeColor="text1"/>
        </w:rPr>
        <w:t>August 13, 2002, Decided</w:t>
      </w:r>
    </w:p>
    <w:p w:rsidR="00032A5B" w:rsidRPr="005221EB" w:rsidRDefault="00032A5B" w:rsidP="00032A5B">
      <w:pPr>
        <w:jc w:val="both"/>
        <w:rPr>
          <w:bCs/>
          <w:color w:val="000000" w:themeColor="text1"/>
        </w:rPr>
      </w:pPr>
    </w:p>
    <w:p w:rsidR="00032A5B" w:rsidRDefault="00032A5B" w:rsidP="00032A5B">
      <w:pPr>
        <w:jc w:val="both"/>
        <w:rPr>
          <w:bCs/>
          <w:color w:val="000000" w:themeColor="text1"/>
        </w:rPr>
      </w:pPr>
    </w:p>
    <w:p w:rsidR="00032A5B" w:rsidRDefault="00032A5B" w:rsidP="00032A5B">
      <w:pPr>
        <w:jc w:val="both"/>
      </w:pPr>
      <w:r w:rsidRPr="005221EB">
        <w:rPr>
          <w:bCs/>
          <w:color w:val="000000" w:themeColor="text1"/>
        </w:rPr>
        <w:t xml:space="preserve">PRIOR HISTORY: </w:t>
      </w:r>
      <w:r w:rsidRPr="005221EB">
        <w:rPr>
          <w:color w:val="000000" w:themeColor="text1"/>
        </w:rPr>
        <w:t xml:space="preserve"> Appeal from the United States District Court for the Western District of Kentucky at </w:t>
      </w:r>
      <w:r>
        <w:t xml:space="preserve">Paducah. </w:t>
      </w:r>
    </w:p>
    <w:p w:rsidR="00032A5B" w:rsidRDefault="00032A5B" w:rsidP="00032A5B">
      <w:pPr>
        <w:jc w:val="both"/>
      </w:pPr>
    </w:p>
    <w:p w:rsidR="00032A5B" w:rsidRPr="005221EB" w:rsidRDefault="00032A5B" w:rsidP="00032A5B">
      <w:pPr>
        <w:jc w:val="both"/>
      </w:pPr>
      <w:r w:rsidRPr="005221EB">
        <w:rPr>
          <w:bCs/>
        </w:rPr>
        <w:t>JUDGES:</w:t>
      </w:r>
      <w:r>
        <w:rPr>
          <w:bCs/>
        </w:rPr>
        <w:t xml:space="preserve"> </w:t>
      </w:r>
      <w:r w:rsidRPr="005221EB">
        <w:t xml:space="preserve"> GUY and BOGGS, Circuit Judges; and CARR, District Judge.</w:t>
      </w:r>
    </w:p>
    <w:p w:rsidR="00032A5B" w:rsidRPr="005221EB" w:rsidRDefault="00032A5B" w:rsidP="00032A5B">
      <w:pPr>
        <w:jc w:val="both"/>
        <w:rPr>
          <w:bCs/>
        </w:rPr>
      </w:pPr>
    </w:p>
    <w:p w:rsidR="00032A5B" w:rsidRDefault="00032A5B" w:rsidP="00032A5B">
      <w:pPr>
        <w:jc w:val="both"/>
      </w:pPr>
      <w:r w:rsidRPr="005221EB">
        <w:rPr>
          <w:bCs/>
        </w:rPr>
        <w:t xml:space="preserve">OPINION BY: </w:t>
      </w:r>
      <w:r>
        <w:rPr>
          <w:bCs/>
        </w:rPr>
        <w:t xml:space="preserve"> </w:t>
      </w:r>
      <w:r>
        <w:t xml:space="preserve">BOGGS, Circuit Judge. </w:t>
      </w:r>
    </w:p>
    <w:p w:rsidR="00032A5B" w:rsidRDefault="00032A5B" w:rsidP="00032A5B">
      <w:pPr>
        <w:jc w:val="both"/>
      </w:pPr>
    </w:p>
    <w:p w:rsidR="00032A5B" w:rsidRDefault="00032A5B" w:rsidP="00032A5B">
      <w:pPr>
        <w:jc w:val="both"/>
      </w:pPr>
    </w:p>
    <w:p w:rsidR="00032A5B" w:rsidRDefault="00032A5B" w:rsidP="00032A5B">
      <w:pPr>
        <w:jc w:val="both"/>
      </w:pPr>
      <w:r>
        <w:t>On December 1, 1997, Michael Carneal walked into the lobby of Heath High School in Paducah, Kentucky, and shot several of his fellow students, killing three and wounding many others. The parents and estate administrators of Carneal's victims — Jessica James, Kayce Steger, and Nicole Hadley — (hereinafter collectively referred to as "James") appeal the judgment of the district court dismissing, for failing to state claims on which relief could be granted, their actions against several video game, movie production, and internet content-provider firms. According to James's complaint, Carneal regularly played video games, watched movies, and viewed internet sites produced by the defendant firms. These activities, James argues, "desensitized" Carneal to violence and "caused" him to kill the students of Heath High School. James claims that the distribution of this material to impressionable youth like Carneal constitutes actionable negligence under Kentucky law, entitling James to recover wrongful death damages from the distributing firms. Moreover, James contends that the defendant firms purveyed defective "products," namely the content of video games, movies, and internet sites, triggering strict product liability under Kentucky law.</w:t>
      </w:r>
    </w:p>
    <w:p w:rsidR="00032A5B" w:rsidRDefault="00032A5B" w:rsidP="00032A5B">
      <w:pPr>
        <w:spacing w:before="120"/>
        <w:jc w:val="both"/>
      </w:pPr>
      <w:r>
        <w:t xml:space="preserve">The defendant firms argue that they owe no duty to protect third parties from how players, watchers or viewers process the ideas and images presented in their video games, movies, and internet sites. Specifically, the defendants contend that Carneal's actions were not sufficiently foreseeable to trigger the defendants' liability. Even if they were to owe such a duty to protect third parties from the consumers of their ideas and images, the defendants argue that Carneal's independent decision to kill his fellow students constitutes a superseding cause of the claimed damages and defeats the proximate cause element of James's </w:t>
      </w:r>
      <w:r>
        <w:rPr>
          <w:i/>
          <w:iCs/>
        </w:rPr>
        <w:t>prima facie</w:t>
      </w:r>
      <w:r>
        <w:t xml:space="preserve"> case. The defendants further contend that tort liability for the non-defamatory ideas and images communicated in their respective media would raise</w:t>
      </w:r>
      <w:r>
        <w:rPr>
          <w:b/>
          <w:bCs/>
        </w:rPr>
        <w:t xml:space="preserve"> </w:t>
      </w:r>
      <w:r>
        <w:t>significant First Amendment questions that ought to be avoided. Finally, the defendants note that James's theory of product liability is flawed as they have not distributed "products" under Kentucky law.</w:t>
      </w:r>
    </w:p>
    <w:p w:rsidR="00032A5B" w:rsidRDefault="00032A5B" w:rsidP="00032A5B">
      <w:pPr>
        <w:spacing w:before="120"/>
        <w:jc w:val="both"/>
      </w:pPr>
      <w:r>
        <w:t>For the reasons set forth below, we affirm the district court's dismissal of James's actions.</w:t>
      </w:r>
    </w:p>
    <w:p w:rsidR="00032A5B" w:rsidRDefault="00032A5B" w:rsidP="00032A5B">
      <w:pPr>
        <w:spacing w:before="120"/>
        <w:jc w:val="both"/>
      </w:pPr>
      <w:r>
        <w:rPr>
          <w:b/>
          <w:bCs/>
        </w:rPr>
        <w:t>I</w:t>
      </w:r>
    </w:p>
    <w:p w:rsidR="00032A5B" w:rsidRDefault="00032A5B" w:rsidP="00032A5B">
      <w:pPr>
        <w:spacing w:before="120"/>
        <w:jc w:val="both"/>
      </w:pPr>
      <w:r>
        <w:t>On December 1, 1997, Michael Carneal brought a .22-caliber pistol and five shotguns into the lobby of Heath High School in Paducah, Kentucky. At the time, Carneal was a 14-year-old freshman student at the school. Upon his arrival, Carneal began shooting into a crowd of students, wounding five. His shots killed an additional three: Jessica James, Kayce Steger, and Nicole Hadley. Carneal was arrested and convicted of murdering James, Steger, and Hadley.</w:t>
      </w:r>
    </w:p>
    <w:p w:rsidR="00032A5B" w:rsidRDefault="00032A5B" w:rsidP="00032A5B">
      <w:pPr>
        <w:spacing w:before="120"/>
        <w:jc w:val="both"/>
      </w:pPr>
      <w:r>
        <w:t xml:space="preserve">Subsequent investigations revealed that Carneal regularly played "Doom," "Quake," "Castle Wolfenstein," "Redneck Rampage," "Nightmare Creatures," "Mech Warrior," "Resident Evil," and "Final Fantasy," which are interactive computer games that, in various ways, all involve the player shooting virtual opponents. Carneal also possessed a video tape containing the movie, "The Basketball Diaries," in a few minutes of which the high-school-student protagonist dreams of killing his teacher and several of his fellow classmates. . . . </w:t>
      </w:r>
    </w:p>
    <w:p w:rsidR="00032A5B" w:rsidRDefault="00032A5B" w:rsidP="00032A5B">
      <w:pPr>
        <w:spacing w:before="120"/>
        <w:jc w:val="both"/>
      </w:pPr>
      <w:r>
        <w:t xml:space="preserve">The parents, who also are the estate administrators, of James, Steger, and Hadley filed this action in the United States District Court for the Western District of Kentucky. James's complaint named as defendants the companies that produce or maintain the above-mentioned movie, video games, and internet sites. James stated essentially three causes of action against the defendants. First, James alleged that the defendants had been negligent in that they either knew or should have </w:t>
      </w:r>
      <w:r>
        <w:lastRenderedPageBreak/>
        <w:t xml:space="preserve">known that the distribution of their material to Carneal and other young people created an unreasonable risk of harm to others. James alleged that exposure to the defendants' material made young people insensitive to violence and more likely to commit violent acts. . . </w:t>
      </w:r>
    </w:p>
    <w:p w:rsidR="00032A5B" w:rsidRDefault="00032A5B" w:rsidP="00032A5B">
      <w:pPr>
        <w:spacing w:before="120"/>
        <w:jc w:val="both"/>
      </w:pPr>
      <w:r>
        <w:t>Second, James asserted that the video game cartridges, movie cassettes, and internet transmissions that the defendants produced and distributed were "products" for purposes of Kentucky product liability law. According to James, the violent features of the movie, games, and internet sites were product defects. The defendants, as producers and distributors of the "products," are strictly liable under Kentucky law for damages caused by such product defects.</w:t>
      </w:r>
    </w:p>
    <w:p w:rsidR="00032A5B" w:rsidRPr="00C45C3C" w:rsidRDefault="00032A5B" w:rsidP="00032A5B">
      <w:pPr>
        <w:spacing w:before="120"/>
        <w:jc w:val="both"/>
      </w:pPr>
      <w:r>
        <w:t>The third claim that James raised was . . .   [note: we will skip the third claim]</w:t>
      </w:r>
    </w:p>
    <w:p w:rsidR="00032A5B" w:rsidRDefault="00032A5B" w:rsidP="00032A5B">
      <w:pPr>
        <w:spacing w:before="120"/>
        <w:jc w:val="both"/>
      </w:pPr>
      <w:r w:rsidRPr="00C45C3C">
        <w:rPr>
          <w:iCs/>
        </w:rPr>
        <w:t xml:space="preserve">The defendants moved to dismiss all of James's actions for failing to state any claim on which relief could be granted. </w:t>
      </w:r>
      <w:r>
        <w:t>The district court granted the defendants' motion. The district court held that Carneal's actions were not sufficiently foreseeable to impose a duty of reasonable care on the defendants with regard to Carneal's victims. Alternatively, the district court held that even if such a duty existed, Carneal's actions constituted a superseding cause of the victims' injuries, defeating the element of proximate causation notwithstanding the defendants' negligence. With regard to James's second cause of action, the district court determined that the "thoughts, ideas and images" purveyed by the defendants' movie, video games, and internet sites were not "products" for purposes of Kentucky law and therefore the defendants could not be held strictly liable for any alleged defects. Finally, . . .    [skip discussion of third claim]</w:t>
      </w:r>
    </w:p>
    <w:p w:rsidR="00032A5B" w:rsidRDefault="00032A5B" w:rsidP="00032A5B">
      <w:pPr>
        <w:spacing w:before="120"/>
        <w:jc w:val="both"/>
      </w:pPr>
      <w:r>
        <w:t>James now appeals the district court dismissal of his negligence and product liability claims. . . . Accordingly, this appeal raises questions of only Kentucky law.</w:t>
      </w:r>
    </w:p>
    <w:p w:rsidR="00032A5B" w:rsidRDefault="00032A5B" w:rsidP="00032A5B">
      <w:pPr>
        <w:jc w:val="both"/>
      </w:pPr>
    </w:p>
    <w:p w:rsidR="00032A5B" w:rsidRDefault="00032A5B" w:rsidP="00032A5B">
      <w:pPr>
        <w:jc w:val="both"/>
      </w:pPr>
      <w:r>
        <w:rPr>
          <w:b/>
          <w:bCs/>
        </w:rPr>
        <w:t>II</w:t>
      </w:r>
    </w:p>
    <w:p w:rsidR="00032A5B" w:rsidRPr="005221EB" w:rsidRDefault="00032A5B" w:rsidP="00032A5B">
      <w:pPr>
        <w:spacing w:before="120"/>
        <w:jc w:val="both"/>
        <w:rPr>
          <w:i/>
          <w:iCs/>
        </w:rPr>
      </w:pPr>
      <w:r>
        <w:t xml:space="preserve">The legal questions under review in this case are questions of Kentucky law. . .   Specifically, we are charged to decide these questions of Kentucky state law as Kentucky state courts would. Although we can find no decision of Kentucky courts that decides precisely the issues presented in this case, we are confident that Kentucky appellate courts would uphold the dismissal of James's action, based on their existing decisions. . . </w:t>
      </w:r>
    </w:p>
    <w:p w:rsidR="00032A5B" w:rsidRDefault="00032A5B" w:rsidP="00032A5B">
      <w:pPr>
        <w:jc w:val="both"/>
      </w:pPr>
    </w:p>
    <w:p w:rsidR="00032A5B" w:rsidRDefault="00032A5B" w:rsidP="00032A5B">
      <w:pPr>
        <w:jc w:val="both"/>
      </w:pPr>
      <w:r>
        <w:rPr>
          <w:b/>
          <w:bCs/>
        </w:rPr>
        <w:t>III</w:t>
      </w:r>
    </w:p>
    <w:p w:rsidR="00032A5B" w:rsidRDefault="00032A5B" w:rsidP="00032A5B">
      <w:pPr>
        <w:spacing w:before="120"/>
        <w:jc w:val="both"/>
      </w:pPr>
      <w:r>
        <w:t xml:space="preserve">James contends that the defendants in this case acted negligently, perhaps in producing, but at least in distributing to young people, their materials. It was this negligence, according to James, that caused Carneal to undertake his violent actions and that thereby caused the deaths of the plaintiffs' daughters. In order to establish an actionable tort under Kentucky law, the plaintiff must establish that the defendant owed a duty of care to the plaintiff, that the defendant breached that duty of care, and that the </w:t>
      </w:r>
      <w:r>
        <w:rPr>
          <w:i/>
          <w:iCs/>
        </w:rPr>
        <w:t>defendant's breach</w:t>
      </w:r>
      <w:r>
        <w:t xml:space="preserve"> was the proximate cause of the plaintiff's damages.</w:t>
      </w:r>
    </w:p>
    <w:p w:rsidR="00032A5B" w:rsidRDefault="00032A5B" w:rsidP="00032A5B">
      <w:pPr>
        <w:jc w:val="both"/>
      </w:pPr>
    </w:p>
    <w:p w:rsidR="00032A5B" w:rsidRDefault="00032A5B" w:rsidP="00032A5B">
      <w:pPr>
        <w:jc w:val="both"/>
      </w:pPr>
      <w:r>
        <w:rPr>
          <w:b/>
          <w:bCs/>
        </w:rPr>
        <w:t>A. The Existence of a Duty of Care</w:t>
      </w:r>
    </w:p>
    <w:p w:rsidR="00032A5B" w:rsidRDefault="00032A5B" w:rsidP="00032A5B">
      <w:pPr>
        <w:spacing w:before="120"/>
        <w:jc w:val="both"/>
      </w:pPr>
      <w:r>
        <w:t xml:space="preserve">The district court held that James's allegations, even if assumed to be true, failed to establish the first element of the </w:t>
      </w:r>
      <w:r>
        <w:rPr>
          <w:i/>
          <w:iCs/>
        </w:rPr>
        <w:t>prima facie</w:t>
      </w:r>
      <w:r>
        <w:t xml:space="preserve"> case. Specifically, the district court determined that the defendants were under no duty to protect James, Steger, and Hadley from Carneal's actions. James argues that the district court erred as a matter of Kentucky law in this regard.</w:t>
      </w:r>
    </w:p>
    <w:p w:rsidR="00032A5B" w:rsidRDefault="00032A5B" w:rsidP="00032A5B">
      <w:pPr>
        <w:spacing w:before="120"/>
        <w:jc w:val="both"/>
      </w:pPr>
      <w:r>
        <w:t>The "existence of a duty of care" as an element of a tort cause of action is of relatively recent vintage. . . . .  At first, the limited duty of care concerned the persons to whom a defendant owed an obligation of care. . . .  With regard to the existence of duty between specific persons, the answer always was dependent on the circumstances.</w:t>
      </w:r>
    </w:p>
    <w:p w:rsidR="00032A5B" w:rsidRDefault="00032A5B" w:rsidP="00032A5B">
      <w:pPr>
        <w:spacing w:before="120"/>
        <w:jc w:val="both"/>
      </w:pPr>
      <w:r>
        <w:t xml:space="preserve">Kentucky courts resolved this dilemma by establishing a "universal duty of care." Under the universal duty of care, "every person owes a duty to every other person to exercise ordinary care in his activities to prevent foreseeable injury." </w:t>
      </w:r>
      <w:r>
        <w:rPr>
          <w:i/>
          <w:iCs/>
        </w:rPr>
        <w:t>Grayson</w:t>
      </w:r>
      <w:r>
        <w:t xml:space="preserve">, 736 S.W.2d at 332. James argues that Kentucky's universal duty of care would foreclose the defendants' argument that they had no duty to protect James, Steger, and Hadley. It is clear to us, however, that Kentucky's rule of a universal duty of care simply recognizes the obvious in determining the existence of a duty of care. . . .  What Kentucky courts have recognized through the "universal duty of care" rule is that the existence of a duty of care is circumstantially limited: the duty is to exercise ordinary care to prevent </w:t>
      </w:r>
      <w:r>
        <w:rPr>
          <w:i/>
          <w:iCs/>
        </w:rPr>
        <w:t>foreseeable</w:t>
      </w:r>
      <w:r>
        <w:t xml:space="preserve"> harm.</w:t>
      </w:r>
    </w:p>
    <w:p w:rsidR="00032A5B" w:rsidRDefault="00032A5B" w:rsidP="00032A5B">
      <w:pPr>
        <w:spacing w:before="120"/>
        <w:jc w:val="both"/>
      </w:pPr>
      <w:r>
        <w:t xml:space="preserve">Thus, Kentucky courts have held that the determination of whether a duty of care exists is whether the harm to the  plaintiff resulting from the defendant's negligence was "foreseeable." Foreseeability is an often invoked, but not terribly well defined, concept in the common law of tort. Some common law tort regimes use foreseeability as the standard for determining proximate causation. . . .   Kentucky's particular use of foreseeability in the duty inquiry finds its roots in </w:t>
      </w:r>
      <w:r>
        <w:lastRenderedPageBreak/>
        <w:t xml:space="preserve">perhaps the most famous application of the foreseeability principle. In </w:t>
      </w:r>
      <w:r>
        <w:rPr>
          <w:i/>
          <w:iCs/>
        </w:rPr>
        <w:t>Palsgraf v. Long Island Railroad Co.</w:t>
      </w:r>
      <w:r>
        <w:t xml:space="preserve">, 248 N.Y. 339 (N.Y. 1928), then-Judge Cardozo determined that the defendant's duty is to avoid "risks reasonably to be perceived."  As every former law student remembers, the plaintiff in </w:t>
      </w:r>
      <w:r>
        <w:rPr>
          <w:i/>
          <w:iCs/>
        </w:rPr>
        <w:t>Palsgraf</w:t>
      </w:r>
      <w:r>
        <w:t xml:space="preserve"> had bought a train ticket to travel to the Rockaways for the afternoon and was waiting on the station platform. Two men were rushing to catch a departing train, one easily hopped on board and the other struggled to pull himself onto the rear car. A conductor on the train pulled him on board, but in the process, the struggling passenger dropped onto the rails the brown-paper package he was carrying. The package was full of fireworks and exploded. The explosion overturned a large set of scales on the platform, which struck Palsgraf, and Palsgraf sued the railroad for her injuries.</w:t>
      </w:r>
    </w:p>
    <w:p w:rsidR="00032A5B" w:rsidRDefault="00032A5B" w:rsidP="00032A5B">
      <w:pPr>
        <w:spacing w:before="120"/>
        <w:jc w:val="both"/>
      </w:pPr>
      <w:r>
        <w:t xml:space="preserve">Cardozo determined that the railroad simply did not owe a duty to Palsgraf to protect against </w:t>
      </w:r>
      <w:r>
        <w:rPr>
          <w:i/>
          <w:iCs/>
        </w:rPr>
        <w:t>the injury that she suffered</w:t>
      </w:r>
      <w:r>
        <w:t xml:space="preserve">. For Cardozo, the harm that Palsgraf suffered was not sufficiently probable that the railroad employees could have been expected to anticipate it occurring from their actions. Cardozo's reasoning, although implying that Palsgraf was the unforeseeable plaintiff, rested on the improbability of the </w:t>
      </w:r>
      <w:r>
        <w:rPr>
          <w:i/>
          <w:iCs/>
        </w:rPr>
        <w:t>harm</w:t>
      </w:r>
      <w:r>
        <w:t xml:space="preserve"> that she suffered arising from the defendant's particular actions. For Cardozo too, the existence of a duty of care was a creature of circumstance. . . . </w:t>
      </w:r>
    </w:p>
    <w:p w:rsidR="00032A5B" w:rsidRDefault="00032A5B" w:rsidP="00032A5B">
      <w:pPr>
        <w:spacing w:before="120"/>
        <w:jc w:val="both"/>
      </w:pPr>
      <w:r>
        <w:t xml:space="preserve">The parties in this case have argued at length over whether the foreseeability inquiry required to determine the existence of a duty of care is a pure question of law for the court or a question of fact that should generally be submitted to a jury.  Under Kentucky law, it is clear that the existence of a duty of care to the plaintiff, and its underlying foreseeability inquiry, is a question of law for the court. . . . </w:t>
      </w:r>
    </w:p>
    <w:p w:rsidR="00032A5B" w:rsidRDefault="00032A5B" w:rsidP="00032A5B">
      <w:pPr>
        <w:spacing w:before="120"/>
        <w:jc w:val="both"/>
      </w:pPr>
      <w:r>
        <w:t xml:space="preserve">Thus, we are called, as best we can, to implement Kentucky's duty of care analysis in this case. Our inquiry is whether the deaths of James, Steger, and Hadley were the reasonably foreseeable result of the defendants' creation and distribution of their games, movie, and internet sites. Whether an event was reasonably foreseeable is not for us to determine with the assistance of hindsight. The mere fact that the risk may have materialized does little to resolve the foreseeability question. . . . </w:t>
      </w:r>
    </w:p>
    <w:p w:rsidR="00032A5B" w:rsidRDefault="00032A5B" w:rsidP="00032A5B">
      <w:pPr>
        <w:spacing w:before="120"/>
        <w:jc w:val="both"/>
      </w:pPr>
      <w:r>
        <w:t xml:space="preserve">This court has encountered this foreseeability inquiry under Kentucky law before in a situation similar to this case. In </w:t>
      </w:r>
      <w:r>
        <w:rPr>
          <w:i/>
          <w:iCs/>
        </w:rPr>
        <w:t>Watters v. TSR, Inc.</w:t>
      </w:r>
      <w:r>
        <w:t xml:space="preserve">, 904 F.2d 378 (6th Cir. 1990), the mother of a suicide victim sued TSR for manufacturing the game "Dungeons and Dragons." The suicide victim regularly played the game. The mother contended that the game's violent content "desensitized" the victim to violence and caused him to undertake the violent act of shooting himself in the head. We held that the boy's suicide was simply not a reasonably foreseeable result of producing the game, notwithstanding its violent content. To have held otherwise would have been "to stretch the concepts of foreseeability and ordinary care to lengths that would deprive them of all normal meaning.". . . </w:t>
      </w:r>
    </w:p>
    <w:p w:rsidR="00032A5B" w:rsidRDefault="00032A5B" w:rsidP="00032A5B">
      <w:pPr>
        <w:spacing w:before="120"/>
        <w:jc w:val="both"/>
      </w:pPr>
      <w:r>
        <w:t>It appears simply impossible to predict that these games, movie, and internet sites (alone, or in what combinations) would incite a young person to violence. Carneal's reaction to the games and movies at issue here, assuming that his violent actions were such a reaction, was simply too idiosyncratic to expect the defendants to have anticipated it. We find that it is simply too far a leap from shooting characters on a video screen (an activity undertaken by millions) to shooting people in a classroom (an activity undertaken by a handful, at most) for Carneal's actions to have been reasonably foreseeable to the manufacturers of the media that Carneal played and viewed. . . .</w:t>
      </w:r>
    </w:p>
    <w:p w:rsidR="00032A5B" w:rsidRDefault="00032A5B" w:rsidP="00032A5B">
      <w:pPr>
        <w:spacing w:before="120"/>
        <w:jc w:val="both"/>
      </w:pPr>
      <w:r>
        <w:t>Of course, Carneal's reaction was not a normal reaction. Indeed, Carneal is not a normal person, but it is not utter craziness to predict that someone like Carneal is out there.</w:t>
      </w:r>
    </w:p>
    <w:p w:rsidR="00032A5B" w:rsidRDefault="00032A5B" w:rsidP="00032A5B">
      <w:pPr>
        <w:spacing w:before="120"/>
        <w:jc w:val="both"/>
      </w:pPr>
    </w:p>
    <w:p w:rsidR="00032A5B" w:rsidRDefault="00032A5B" w:rsidP="00032A5B">
      <w:pPr>
        <w:jc w:val="both"/>
      </w:pPr>
      <w:r>
        <w:rPr>
          <w:b/>
          <w:bCs/>
        </w:rPr>
        <w:t>1. The Duty to Protect Against Intentional Criminal Actions</w:t>
      </w:r>
    </w:p>
    <w:p w:rsidR="00032A5B" w:rsidRDefault="00032A5B" w:rsidP="00032A5B">
      <w:pPr>
        <w:spacing w:before="120"/>
        <w:jc w:val="both"/>
      </w:pPr>
      <w:r>
        <w:t>First, courts have held that, except under extraordinary circumstances, individuals are generally entitled to assume that third parties will not commit intentional criminal acts. . . .</w:t>
      </w:r>
    </w:p>
    <w:p w:rsidR="00032A5B" w:rsidRDefault="00032A5B" w:rsidP="00032A5B">
      <w:pPr>
        <w:jc w:val="both"/>
      </w:pPr>
    </w:p>
    <w:p w:rsidR="00032A5B" w:rsidRDefault="00032A5B" w:rsidP="00032A5B">
      <w:pPr>
        <w:jc w:val="both"/>
      </w:pPr>
      <w:r>
        <w:t>[discussion deleted]</w:t>
      </w:r>
    </w:p>
    <w:p w:rsidR="00032A5B" w:rsidRDefault="00032A5B" w:rsidP="00032A5B">
      <w:pPr>
        <w:jc w:val="both"/>
      </w:pPr>
    </w:p>
    <w:p w:rsidR="004862C6" w:rsidRDefault="004862C6" w:rsidP="00032A5B">
      <w:pPr>
        <w:jc w:val="both"/>
        <w:rPr>
          <w:b/>
          <w:bCs/>
        </w:rPr>
      </w:pPr>
    </w:p>
    <w:p w:rsidR="00032A5B" w:rsidRDefault="00032A5B" w:rsidP="00032A5B">
      <w:pPr>
        <w:jc w:val="both"/>
      </w:pPr>
      <w:r>
        <w:rPr>
          <w:b/>
          <w:bCs/>
        </w:rPr>
        <w:t>2. First Amendment Problems</w:t>
      </w:r>
    </w:p>
    <w:p w:rsidR="00032A5B" w:rsidRDefault="00032A5B" w:rsidP="00032A5B">
      <w:pPr>
        <w:spacing w:before="120"/>
        <w:jc w:val="both"/>
      </w:pPr>
      <w:r>
        <w:t>[discussion of First Amendment issues deleted]</w:t>
      </w:r>
    </w:p>
    <w:p w:rsidR="00032A5B" w:rsidRDefault="00032A5B" w:rsidP="00032A5B">
      <w:pPr>
        <w:jc w:val="both"/>
      </w:pPr>
    </w:p>
    <w:p w:rsidR="004862C6" w:rsidRDefault="004862C6" w:rsidP="00032A5B">
      <w:pPr>
        <w:jc w:val="both"/>
        <w:rPr>
          <w:b/>
          <w:bCs/>
        </w:rPr>
      </w:pPr>
    </w:p>
    <w:p w:rsidR="004862C6" w:rsidRDefault="004862C6" w:rsidP="00032A5B">
      <w:pPr>
        <w:jc w:val="both"/>
        <w:rPr>
          <w:b/>
          <w:bCs/>
        </w:rPr>
      </w:pPr>
    </w:p>
    <w:p w:rsidR="004862C6" w:rsidRDefault="004862C6" w:rsidP="00032A5B">
      <w:pPr>
        <w:jc w:val="both"/>
        <w:rPr>
          <w:b/>
          <w:bCs/>
        </w:rPr>
      </w:pPr>
    </w:p>
    <w:p w:rsidR="00032A5B" w:rsidRDefault="00032A5B" w:rsidP="00032A5B">
      <w:pPr>
        <w:jc w:val="both"/>
      </w:pPr>
      <w:r>
        <w:rPr>
          <w:b/>
          <w:bCs/>
        </w:rPr>
        <w:lastRenderedPageBreak/>
        <w:t>B. Proximate Causation</w:t>
      </w:r>
    </w:p>
    <w:p w:rsidR="00032A5B" w:rsidRDefault="00032A5B" w:rsidP="00032A5B">
      <w:pPr>
        <w:spacing w:before="120"/>
        <w:jc w:val="both"/>
      </w:pPr>
      <w:r>
        <w:t xml:space="preserve">Even if this court were to find that the defendants owed a duty to protect James, Steger, and Hadley from Carneal's violent actions, the plaintiffs likely have not alleged sufficient facts to establish the third element of a </w:t>
      </w:r>
      <w:r>
        <w:rPr>
          <w:i/>
          <w:iCs/>
        </w:rPr>
        <w:t>prima facie</w:t>
      </w:r>
      <w:r>
        <w:t xml:space="preserve"> tort case: proximate causation. The defendants argue that even if they were negligent, Carneal's intentional, violent actions   constitute a superseding cause of the plaintiffs' damages and sever the defendants liability for the deaths of Carneal's victims. Generally, a third party's criminal action that directly causes all of the damages will break the chain of causation.</w:t>
      </w:r>
    </w:p>
    <w:p w:rsidR="00032A5B" w:rsidRDefault="00032A5B" w:rsidP="00032A5B">
      <w:pPr>
        <w:spacing w:before="120"/>
        <w:jc w:val="both"/>
      </w:pPr>
      <w:r>
        <w:t xml:space="preserve">Yet, Kentucky courts have held that an intervening third-party criminal act will not be a superseding cause breaking the chain of causation if the act was reasonably foreseeable. . . . </w:t>
      </w:r>
    </w:p>
    <w:p w:rsidR="00032A5B" w:rsidRDefault="00032A5B" w:rsidP="00032A5B">
      <w:pPr>
        <w:spacing w:before="120"/>
        <w:jc w:val="both"/>
      </w:pPr>
      <w:r>
        <w:t>A similar analysis is applicable here. Our determination regarding the idiosyncratic nature of Carneal's reaction to the defendants' media would likely compel us to hold that his action constitutes a superseding cause. We, however, need not reach this question because we have determined that the defendants did not owe a duty to protect the decedents.</w:t>
      </w:r>
    </w:p>
    <w:p w:rsidR="00032A5B" w:rsidRDefault="00032A5B" w:rsidP="00032A5B">
      <w:pPr>
        <w:jc w:val="both"/>
      </w:pPr>
    </w:p>
    <w:p w:rsidR="00032A5B" w:rsidRDefault="00032A5B" w:rsidP="00032A5B">
      <w:pPr>
        <w:jc w:val="both"/>
      </w:pPr>
      <w:r>
        <w:rPr>
          <w:b/>
          <w:bCs/>
        </w:rPr>
        <w:t>IV</w:t>
      </w:r>
    </w:p>
    <w:p w:rsidR="00032A5B" w:rsidRDefault="00032A5B" w:rsidP="00032A5B">
      <w:pPr>
        <w:spacing w:before="120"/>
        <w:jc w:val="both"/>
      </w:pPr>
      <w:r>
        <w:t>James also contends that the district court erred in dismissing his products liability claims. In his complaint, James alleged that the defendants' video games, movie, and internet transmissions constitute "products," and their violent content "product defects." Under Kentucky law, manufacturers, distributors, and retailers of "products" are strictly liable for damages caused by "defects" in those products. If this theory of liability were to apply, James's failure to establish a duty to exercise ordinary care to prevent the victims' injuries would be irrelevant. Under strict liability, James would only be required to establish causation.</w:t>
      </w:r>
    </w:p>
    <w:p w:rsidR="00032A5B" w:rsidRDefault="00032A5B" w:rsidP="00032A5B">
      <w:pPr>
        <w:spacing w:before="120"/>
        <w:jc w:val="both"/>
      </w:pPr>
      <w:r>
        <w:t xml:space="preserve">James's theory of product liability in this case is deeply flawed. </w:t>
      </w:r>
    </w:p>
    <w:p w:rsidR="00032A5B" w:rsidRDefault="00032A5B" w:rsidP="00032A5B">
      <w:pPr>
        <w:spacing w:before="120"/>
        <w:jc w:val="both"/>
      </w:pPr>
    </w:p>
    <w:p w:rsidR="00032A5B" w:rsidRDefault="00032A5B" w:rsidP="00032A5B">
      <w:pPr>
        <w:spacing w:before="120"/>
        <w:jc w:val="both"/>
      </w:pPr>
      <w:r>
        <w:t>[discussion of product liability issues deleted]</w:t>
      </w:r>
    </w:p>
    <w:p w:rsidR="00032A5B" w:rsidRDefault="00032A5B" w:rsidP="00032A5B">
      <w:pPr>
        <w:spacing w:before="120"/>
        <w:jc w:val="both"/>
      </w:pPr>
    </w:p>
    <w:p w:rsidR="00032A5B" w:rsidRDefault="00032A5B" w:rsidP="00032A5B">
      <w:pPr>
        <w:spacing w:before="120"/>
        <w:jc w:val="both"/>
      </w:pPr>
      <w:r>
        <w:t>Certainly if a video cassette exploded and injured its user, we would hold it a "product" and its producer strictly liable for the user's physical damages. In this case, however, James is arguing that the words and images purveyed on the tangible cassettes, cartridges, and perhaps even the electrical pulses through the internet, caused Carneal to snap and to effect the deaths of the victims. When dealing with ideas and images, courts have been willing to separate the sense in which the tangible containers of those ideas are products from their communicative element for purposes of strict liability. We find these decisions well reasoned. The video game cartridges, movie cassette, and internet transmissions are not sufficiently "tangible" to constitute products in the sense of their communicative content.</w:t>
      </w:r>
    </w:p>
    <w:p w:rsidR="00032A5B" w:rsidRDefault="00032A5B" w:rsidP="00032A5B">
      <w:pPr>
        <w:spacing w:before="120"/>
        <w:jc w:val="both"/>
        <w:rPr>
          <w:b/>
          <w:bCs/>
        </w:rPr>
      </w:pPr>
    </w:p>
    <w:p w:rsidR="00032A5B" w:rsidRDefault="00032A5B" w:rsidP="00032A5B">
      <w:pPr>
        <w:spacing w:before="120"/>
        <w:jc w:val="both"/>
      </w:pPr>
      <w:r>
        <w:rPr>
          <w:b/>
          <w:bCs/>
        </w:rPr>
        <w:t>V</w:t>
      </w:r>
    </w:p>
    <w:p w:rsidR="00032A5B" w:rsidRDefault="00032A5B" w:rsidP="00032A5B">
      <w:r>
        <w:t>For all the foregoing reasons, we AFFIRM the district court's dismissal of all James's claims.</w:t>
      </w:r>
    </w:p>
    <w:p w:rsidR="00032A5B" w:rsidRPr="00607768" w:rsidRDefault="00032A5B" w:rsidP="00032A5B">
      <w:pPr>
        <w:jc w:val="center"/>
      </w:pPr>
      <w:r>
        <w:br w:type="page"/>
      </w:r>
      <w:r w:rsidRPr="00607768">
        <w:lastRenderedPageBreak/>
        <w:t>Robert J. Fischer; Terri Fischer, Appellees, v. Red Lion Inns Operating L.P., A Delaware Limited Partnership</w:t>
      </w:r>
      <w:r>
        <w:t>, and</w:t>
      </w:r>
      <w:r w:rsidRPr="00607768">
        <w:t xml:space="preserve"> Pepsi Cola Bottling Company of Omaha, Inc., A </w:t>
      </w:r>
      <w:r>
        <w:t>Nebraska Corporation, Appellant</w:t>
      </w:r>
    </w:p>
    <w:p w:rsidR="00032A5B" w:rsidRPr="00607768" w:rsidRDefault="00032A5B" w:rsidP="00032A5B">
      <w:pPr>
        <w:pStyle w:val="NormalWeb"/>
        <w:jc w:val="center"/>
        <w:rPr>
          <w:color w:val="333333"/>
          <w:sz w:val="20"/>
          <w:szCs w:val="20"/>
        </w:rPr>
      </w:pPr>
      <w:smartTag w:uri="urn:schemas-microsoft-com:office:smarttags" w:element="place">
        <w:smartTag w:uri="urn:schemas-microsoft-com:office:smarttags" w:element="country-region">
          <w:r w:rsidRPr="00607768">
            <w:rPr>
              <w:color w:val="333333"/>
              <w:sz w:val="20"/>
              <w:szCs w:val="20"/>
            </w:rPr>
            <w:t>United States</w:t>
          </w:r>
        </w:smartTag>
      </w:smartTag>
      <w:r w:rsidRPr="00607768">
        <w:rPr>
          <w:color w:val="333333"/>
          <w:sz w:val="20"/>
          <w:szCs w:val="20"/>
        </w:rPr>
        <w:t xml:space="preserve"> Court </w:t>
      </w:r>
      <w:r>
        <w:rPr>
          <w:color w:val="333333"/>
          <w:sz w:val="20"/>
          <w:szCs w:val="20"/>
        </w:rPr>
        <w:t>o</w:t>
      </w:r>
      <w:r w:rsidRPr="00607768">
        <w:rPr>
          <w:color w:val="333333"/>
          <w:sz w:val="20"/>
          <w:szCs w:val="20"/>
        </w:rPr>
        <w:t xml:space="preserve">f Appeals </w:t>
      </w:r>
      <w:r>
        <w:rPr>
          <w:color w:val="333333"/>
          <w:sz w:val="20"/>
          <w:szCs w:val="20"/>
        </w:rPr>
        <w:t>f</w:t>
      </w:r>
      <w:r w:rsidRPr="00607768">
        <w:rPr>
          <w:color w:val="333333"/>
          <w:sz w:val="20"/>
          <w:szCs w:val="20"/>
        </w:rPr>
        <w:t>or The Eighth Circuit</w:t>
      </w:r>
    </w:p>
    <w:p w:rsidR="00032A5B" w:rsidRPr="00607768" w:rsidRDefault="00032A5B" w:rsidP="00032A5B">
      <w:pPr>
        <w:pStyle w:val="NormalWeb"/>
        <w:jc w:val="center"/>
        <w:rPr>
          <w:color w:val="333333"/>
          <w:sz w:val="20"/>
          <w:szCs w:val="20"/>
        </w:rPr>
      </w:pPr>
      <w:r w:rsidRPr="007B3426">
        <w:rPr>
          <w:bCs/>
          <w:color w:val="333333"/>
          <w:sz w:val="20"/>
          <w:szCs w:val="20"/>
        </w:rPr>
        <w:t>972 F.2d 906</w:t>
      </w:r>
      <w:r w:rsidRPr="00607768">
        <w:rPr>
          <w:color w:val="333333"/>
          <w:sz w:val="20"/>
          <w:szCs w:val="20"/>
        </w:rPr>
        <w:br/>
        <w:t> </w:t>
      </w:r>
      <w:r w:rsidRPr="00607768">
        <w:rPr>
          <w:color w:val="333333"/>
          <w:sz w:val="20"/>
          <w:szCs w:val="20"/>
        </w:rPr>
        <w:br/>
      </w:r>
      <w:smartTag w:uri="urn:schemas-microsoft-com:office:smarttags" w:element="date">
        <w:smartTagPr>
          <w:attr w:name="Month" w:val="8"/>
          <w:attr w:name="Day" w:val="13"/>
          <w:attr w:name="Year" w:val="1992"/>
        </w:smartTagPr>
        <w:r w:rsidRPr="00607768">
          <w:rPr>
            <w:color w:val="333333"/>
            <w:sz w:val="20"/>
            <w:szCs w:val="20"/>
          </w:rPr>
          <w:t>August 13, 1992</w:t>
        </w:r>
      </w:smartTag>
      <w:r w:rsidRPr="00607768">
        <w:rPr>
          <w:color w:val="333333"/>
          <w:sz w:val="20"/>
          <w:szCs w:val="20"/>
        </w:rPr>
        <w:t>, Decided</w:t>
      </w:r>
    </w:p>
    <w:p w:rsidR="00032A5B" w:rsidRDefault="00032A5B" w:rsidP="00032A5B">
      <w:pPr>
        <w:pStyle w:val="NormalWeb"/>
        <w:spacing w:before="0" w:beforeAutospacing="0" w:after="0" w:afterAutospacing="0"/>
        <w:rPr>
          <w:b/>
          <w:bCs/>
          <w:color w:val="333333"/>
          <w:sz w:val="20"/>
          <w:szCs w:val="20"/>
        </w:rPr>
      </w:pPr>
    </w:p>
    <w:p w:rsidR="00032A5B" w:rsidRDefault="00032A5B" w:rsidP="00032A5B">
      <w:pPr>
        <w:pStyle w:val="NormalWeb"/>
        <w:spacing w:before="0" w:beforeAutospacing="0" w:after="0" w:afterAutospacing="0"/>
        <w:rPr>
          <w:color w:val="333333"/>
          <w:sz w:val="20"/>
          <w:szCs w:val="20"/>
        </w:rPr>
      </w:pPr>
      <w:r w:rsidRPr="0018063D">
        <w:rPr>
          <w:bCs/>
          <w:color w:val="333333"/>
          <w:sz w:val="20"/>
          <w:szCs w:val="20"/>
        </w:rPr>
        <w:t>JUDGES:</w:t>
      </w:r>
      <w:r w:rsidRPr="0018063D">
        <w:rPr>
          <w:color w:val="333333"/>
          <w:sz w:val="20"/>
          <w:szCs w:val="20"/>
        </w:rPr>
        <w:t xml:space="preserve"> </w:t>
      </w:r>
      <w:r>
        <w:rPr>
          <w:color w:val="333333"/>
          <w:sz w:val="20"/>
          <w:szCs w:val="20"/>
        </w:rPr>
        <w:t xml:space="preserve"> </w:t>
      </w:r>
      <w:r w:rsidRPr="0018063D">
        <w:rPr>
          <w:color w:val="333333"/>
          <w:sz w:val="20"/>
          <w:szCs w:val="20"/>
        </w:rPr>
        <w:t>BEAM, Circuit Judge, HEANEY, Senior Circuit Judge, and LOKEN, Circuit Judge.</w:t>
      </w:r>
      <w:r w:rsidRPr="0018063D">
        <w:rPr>
          <w:color w:val="333333"/>
          <w:sz w:val="20"/>
          <w:szCs w:val="20"/>
        </w:rPr>
        <w:br/>
      </w:r>
      <w:r w:rsidRPr="0018063D">
        <w:rPr>
          <w:color w:val="333333"/>
          <w:sz w:val="20"/>
          <w:szCs w:val="20"/>
        </w:rPr>
        <w:br/>
      </w:r>
      <w:r w:rsidRPr="0018063D">
        <w:rPr>
          <w:bCs/>
          <w:color w:val="333333"/>
          <w:sz w:val="20"/>
          <w:szCs w:val="20"/>
        </w:rPr>
        <w:t>OPINION</w:t>
      </w:r>
      <w:r>
        <w:rPr>
          <w:bCs/>
          <w:color w:val="333333"/>
          <w:sz w:val="20"/>
          <w:szCs w:val="20"/>
        </w:rPr>
        <w:t xml:space="preserve"> BY:</w:t>
      </w:r>
      <w:r>
        <w:rPr>
          <w:b/>
          <w:bCs/>
          <w:color w:val="333333"/>
          <w:sz w:val="20"/>
          <w:szCs w:val="20"/>
        </w:rPr>
        <w:t xml:space="preserve">   </w:t>
      </w:r>
      <w:r w:rsidRPr="00607768">
        <w:rPr>
          <w:color w:val="333333"/>
          <w:sz w:val="20"/>
          <w:szCs w:val="20"/>
        </w:rPr>
        <w:t>BEAM, Circuit Judge.</w:t>
      </w:r>
      <w:r w:rsidRPr="00607768">
        <w:rPr>
          <w:color w:val="333333"/>
          <w:sz w:val="20"/>
          <w:szCs w:val="20"/>
        </w:rPr>
        <w:br/>
      </w:r>
      <w:r w:rsidRPr="00607768">
        <w:rPr>
          <w:color w:val="333333"/>
          <w:sz w:val="20"/>
          <w:szCs w:val="20"/>
        </w:rPr>
        <w:br/>
        <w:t xml:space="preserve">Pepsi Cola Bottling Company of </w:t>
      </w:r>
      <w:smartTag w:uri="urn:schemas-microsoft-com:office:smarttags" w:element="place">
        <w:smartTag w:uri="urn:schemas-microsoft-com:office:smarttags" w:element="City">
          <w:r w:rsidRPr="00607768">
            <w:rPr>
              <w:color w:val="333333"/>
              <w:sz w:val="20"/>
              <w:szCs w:val="20"/>
            </w:rPr>
            <w:t>Omaha</w:t>
          </w:r>
        </w:smartTag>
      </w:smartTag>
      <w:r w:rsidRPr="00607768">
        <w:rPr>
          <w:color w:val="333333"/>
          <w:sz w:val="20"/>
          <w:szCs w:val="20"/>
        </w:rPr>
        <w:t xml:space="preserve"> (Pepsi) appeals from a jury verdict finding it liable for injuries suffered by Fischer due to an electric shock he received while operating one of Pepsi's vending machines. </w:t>
      </w:r>
      <w:r>
        <w:rPr>
          <w:color w:val="333333"/>
          <w:sz w:val="20"/>
          <w:szCs w:val="20"/>
        </w:rPr>
        <w:t xml:space="preserve">. . .  </w:t>
      </w:r>
      <w:r w:rsidRPr="00607768">
        <w:rPr>
          <w:color w:val="333333"/>
          <w:sz w:val="20"/>
          <w:szCs w:val="20"/>
        </w:rPr>
        <w:t>We affirm the district court.</w:t>
      </w:r>
      <w:r w:rsidRPr="00607768">
        <w:rPr>
          <w:color w:val="333333"/>
          <w:sz w:val="20"/>
          <w:szCs w:val="20"/>
        </w:rPr>
        <w:br/>
        <w:t> </w:t>
      </w:r>
    </w:p>
    <w:p w:rsidR="00032A5B" w:rsidRDefault="00032A5B" w:rsidP="00032A5B">
      <w:pPr>
        <w:pStyle w:val="NormalWeb"/>
        <w:spacing w:before="0" w:beforeAutospacing="0" w:after="0" w:afterAutospacing="0"/>
        <w:rPr>
          <w:color w:val="333333"/>
          <w:sz w:val="20"/>
          <w:szCs w:val="20"/>
        </w:rPr>
      </w:pPr>
    </w:p>
    <w:p w:rsidR="00032A5B" w:rsidRDefault="00032A5B" w:rsidP="00032A5B">
      <w:pPr>
        <w:pStyle w:val="NormalWeb"/>
        <w:spacing w:before="0" w:beforeAutospacing="0" w:after="0" w:afterAutospacing="0"/>
        <w:rPr>
          <w:color w:val="333333"/>
          <w:sz w:val="20"/>
          <w:szCs w:val="20"/>
        </w:rPr>
      </w:pPr>
      <w:r w:rsidRPr="0018063D">
        <w:rPr>
          <w:bCs/>
          <w:color w:val="333333"/>
          <w:sz w:val="20"/>
          <w:szCs w:val="20"/>
        </w:rPr>
        <w:t>I. BACKGROUND</w:t>
      </w:r>
      <w:r w:rsidRPr="0018063D">
        <w:rPr>
          <w:color w:val="333333"/>
          <w:sz w:val="20"/>
          <w:szCs w:val="20"/>
        </w:rPr>
        <w:br/>
      </w:r>
      <w:r w:rsidRPr="00607768">
        <w:rPr>
          <w:color w:val="333333"/>
          <w:sz w:val="20"/>
          <w:szCs w:val="20"/>
        </w:rPr>
        <w:br/>
        <w:t xml:space="preserve">On </w:t>
      </w:r>
      <w:smartTag w:uri="urn:schemas-microsoft-com:office:smarttags" w:element="date">
        <w:smartTagPr>
          <w:attr w:name="Month" w:val="3"/>
          <w:attr w:name="Day" w:val="4"/>
          <w:attr w:name="Year" w:val="1987"/>
        </w:smartTagPr>
        <w:r w:rsidRPr="00607768">
          <w:rPr>
            <w:color w:val="333333"/>
            <w:sz w:val="20"/>
            <w:szCs w:val="20"/>
          </w:rPr>
          <w:t>March 4, 1987</w:t>
        </w:r>
      </w:smartTag>
      <w:r w:rsidRPr="00607768">
        <w:rPr>
          <w:color w:val="333333"/>
          <w:sz w:val="20"/>
          <w:szCs w:val="20"/>
        </w:rPr>
        <w:t xml:space="preserve">, Fischer was in </w:t>
      </w:r>
      <w:smartTag w:uri="urn:schemas-microsoft-com:office:smarttags" w:element="place">
        <w:smartTag w:uri="urn:schemas-microsoft-com:office:smarttags" w:element="City">
          <w:r w:rsidRPr="00607768">
            <w:rPr>
              <w:color w:val="333333"/>
              <w:sz w:val="20"/>
              <w:szCs w:val="20"/>
            </w:rPr>
            <w:t>Omaha</w:t>
          </w:r>
        </w:smartTag>
        <w:r w:rsidRPr="00607768">
          <w:rPr>
            <w:color w:val="333333"/>
            <w:sz w:val="20"/>
            <w:szCs w:val="20"/>
          </w:rPr>
          <w:t xml:space="preserve">, </w:t>
        </w:r>
        <w:smartTag w:uri="urn:schemas-microsoft-com:office:smarttags" w:element="State">
          <w:r w:rsidRPr="00607768">
            <w:rPr>
              <w:color w:val="333333"/>
              <w:sz w:val="20"/>
              <w:szCs w:val="20"/>
            </w:rPr>
            <w:t>Nebraska</w:t>
          </w:r>
        </w:smartTag>
      </w:smartTag>
      <w:r w:rsidRPr="00607768">
        <w:rPr>
          <w:color w:val="333333"/>
          <w:sz w:val="20"/>
          <w:szCs w:val="20"/>
        </w:rPr>
        <w:t xml:space="preserve"> attending a seminar, and was a guest at the Red Lion Inn. At the end of the seminar's first day, Fischer returned to the hotel for a swim. Following his swim, Fischer visited the eleventh floor of the Red Lion to purchase a pop from the vending machine. Fischer was still wearing his wet swimming trunks and was barefoot.   As he inserted his money into the vending machine, an electrical current passed through the trunk of his body. Fischer returned to his hotel room and reported the incident to the service desk.</w:t>
      </w:r>
      <w:r>
        <w:rPr>
          <w:color w:val="333333"/>
          <w:sz w:val="20"/>
          <w:szCs w:val="20"/>
        </w:rPr>
        <w:t xml:space="preserve"> </w:t>
      </w:r>
      <w:r w:rsidRPr="00607768">
        <w:rPr>
          <w:color w:val="333333"/>
          <w:sz w:val="20"/>
          <w:szCs w:val="20"/>
        </w:rPr>
        <w:t xml:space="preserve"> Later that evening Fischer experienced a burning sensation while urinating.</w:t>
      </w:r>
      <w:r w:rsidRPr="00607768">
        <w:rPr>
          <w:color w:val="333333"/>
          <w:sz w:val="20"/>
          <w:szCs w:val="20"/>
        </w:rPr>
        <w:br/>
      </w:r>
      <w:r w:rsidRPr="00607768">
        <w:rPr>
          <w:color w:val="333333"/>
          <w:sz w:val="20"/>
          <w:szCs w:val="20"/>
        </w:rPr>
        <w:br/>
        <w:t>Upon his return home, Fischer began experiencing pain</w:t>
      </w:r>
      <w:r>
        <w:rPr>
          <w:color w:val="333333"/>
          <w:sz w:val="20"/>
          <w:szCs w:val="20"/>
        </w:rPr>
        <w:t xml:space="preserve"> . . . </w:t>
      </w:r>
      <w:r w:rsidRPr="00607768">
        <w:rPr>
          <w:color w:val="333333"/>
          <w:sz w:val="20"/>
          <w:szCs w:val="20"/>
        </w:rPr>
        <w:t xml:space="preserve"> This led to problems with his sexual relationship with his wife. When his condition persisted, he sought medical treatment.</w:t>
      </w:r>
      <w:r w:rsidRPr="00607768">
        <w:rPr>
          <w:color w:val="333333"/>
          <w:sz w:val="20"/>
          <w:szCs w:val="20"/>
        </w:rPr>
        <w:br/>
      </w:r>
      <w:r w:rsidRPr="00607768">
        <w:rPr>
          <w:color w:val="333333"/>
          <w:sz w:val="20"/>
          <w:szCs w:val="20"/>
        </w:rPr>
        <w:br/>
        <w:t>Responding to a call by Red Lion, James Renner, a service technician employed by Pepsi, inspected the vending machine on March 9, but found nothing wrong. At the time he performed his inspection, Renner was wearing tennis shoes with rubber soles. Renner then called John Gruebel, Pepsi's service foreman, and asked him to check the machine to see if he, Renner, had missed anything.</w:t>
      </w:r>
      <w:r w:rsidRPr="00607768">
        <w:rPr>
          <w:color w:val="333333"/>
          <w:sz w:val="20"/>
          <w:szCs w:val="20"/>
        </w:rPr>
        <w:br/>
      </w:r>
      <w:r w:rsidRPr="00607768">
        <w:rPr>
          <w:color w:val="333333"/>
          <w:sz w:val="20"/>
          <w:szCs w:val="20"/>
        </w:rPr>
        <w:br/>
        <w:t>On March 11, Gruebel inspected the machine and received an electrical shock when he inserted his key to open it. Gruebel unplugged the machine, followed the power cord from the electrical socket to the rear of the machine, and found that the cord was resting underneath the machine's metal cabinet. He noticed that the power cord's metal conducting wires were exposed and came into contact with the machine's cabinet. Gruebel replaced the power cord and threw away the damaged cord.</w:t>
      </w:r>
      <w:r w:rsidRPr="00607768">
        <w:rPr>
          <w:color w:val="333333"/>
          <w:sz w:val="20"/>
          <w:szCs w:val="20"/>
        </w:rPr>
        <w:br/>
        <w:t> </w:t>
      </w:r>
      <w:r w:rsidRPr="00607768">
        <w:rPr>
          <w:color w:val="333333"/>
          <w:sz w:val="20"/>
          <w:szCs w:val="20"/>
        </w:rPr>
        <w:br/>
      </w:r>
    </w:p>
    <w:p w:rsidR="00032A5B" w:rsidRPr="00286D61" w:rsidRDefault="00032A5B" w:rsidP="00032A5B">
      <w:pPr>
        <w:pStyle w:val="NormalWeb"/>
        <w:spacing w:before="0" w:beforeAutospacing="0" w:after="0" w:afterAutospacing="0"/>
        <w:rPr>
          <w:color w:val="333333"/>
          <w:sz w:val="20"/>
          <w:szCs w:val="20"/>
        </w:rPr>
      </w:pPr>
      <w:r w:rsidRPr="0018063D">
        <w:rPr>
          <w:bCs/>
          <w:color w:val="333333"/>
          <w:sz w:val="20"/>
          <w:szCs w:val="20"/>
        </w:rPr>
        <w:t>II. DISCUSSION</w:t>
      </w:r>
      <w:r w:rsidRPr="0018063D">
        <w:rPr>
          <w:color w:val="333333"/>
          <w:sz w:val="20"/>
          <w:szCs w:val="20"/>
        </w:rPr>
        <w:br/>
      </w:r>
      <w:r w:rsidRPr="0018063D">
        <w:rPr>
          <w:color w:val="333333"/>
          <w:sz w:val="20"/>
          <w:szCs w:val="20"/>
        </w:rPr>
        <w:br/>
      </w:r>
      <w:r w:rsidRPr="0018063D">
        <w:rPr>
          <w:bCs/>
          <w:color w:val="333333"/>
          <w:sz w:val="20"/>
          <w:szCs w:val="20"/>
        </w:rPr>
        <w:t>A. Directed Verdict and Sufficiency of the Evidence</w:t>
      </w:r>
      <w:r w:rsidRPr="0018063D">
        <w:rPr>
          <w:color w:val="333333"/>
          <w:sz w:val="20"/>
          <w:szCs w:val="20"/>
        </w:rPr>
        <w:br/>
      </w:r>
      <w:r w:rsidRPr="0018063D">
        <w:rPr>
          <w:color w:val="333333"/>
          <w:sz w:val="20"/>
          <w:szCs w:val="20"/>
        </w:rPr>
        <w:br/>
      </w:r>
      <w:r>
        <w:rPr>
          <w:color w:val="333333"/>
          <w:sz w:val="20"/>
          <w:szCs w:val="20"/>
        </w:rPr>
        <w:t xml:space="preserve">. . . . </w:t>
      </w:r>
      <w:r w:rsidRPr="00607768">
        <w:rPr>
          <w:color w:val="333333"/>
          <w:sz w:val="20"/>
          <w:szCs w:val="20"/>
        </w:rPr>
        <w:t>In addition to the testimony outlined above, Pepsi's service foreman, Gruebel, testified that he saw damaged power cords on Pepsi's vending machines about nine or ten times a year, and that the service department received complaints that a vending machine was causing electrical shocks about once or twice a month. Gruebel also testified that on the day Fischer was electrically  shocked, Pepsi had no policy for periodically inspecting the electrical parts of vending machines. Given this testimony, the jury could reasonably conclude that Pepsi was aware that its machines could cause injury, and that Pepsi was negligent in not inspecting its machines.</w:t>
      </w:r>
      <w:r>
        <w:rPr>
          <w:color w:val="333333"/>
          <w:sz w:val="20"/>
          <w:szCs w:val="20"/>
        </w:rPr>
        <w:t xml:space="preserve"> . . .</w:t>
      </w:r>
      <w:r w:rsidRPr="00607768">
        <w:rPr>
          <w:color w:val="333333"/>
          <w:sz w:val="20"/>
          <w:szCs w:val="20"/>
        </w:rPr>
        <w:t xml:space="preserve"> </w:t>
      </w:r>
      <w:r w:rsidRPr="00607768">
        <w:rPr>
          <w:color w:val="333333"/>
          <w:sz w:val="20"/>
          <w:szCs w:val="20"/>
        </w:rPr>
        <w:br/>
      </w:r>
      <w:r w:rsidRPr="00607768">
        <w:rPr>
          <w:color w:val="333333"/>
          <w:sz w:val="20"/>
          <w:szCs w:val="20"/>
        </w:rPr>
        <w:br/>
        <w:t xml:space="preserve">Pepsi next argues that  even if they had a duty to inspect, their failure to do so was not the proximate cause of Fischer's </w:t>
      </w:r>
      <w:r w:rsidRPr="00607768">
        <w:rPr>
          <w:color w:val="333333"/>
          <w:sz w:val="20"/>
          <w:szCs w:val="20"/>
        </w:rPr>
        <w:lastRenderedPageBreak/>
        <w:t xml:space="preserve">injuries. </w:t>
      </w:r>
      <w:r>
        <w:rPr>
          <w:color w:val="333333"/>
          <w:sz w:val="20"/>
          <w:szCs w:val="20"/>
        </w:rPr>
        <w:t xml:space="preserve"> </w:t>
      </w:r>
      <w:r w:rsidRPr="00607768">
        <w:rPr>
          <w:color w:val="333333"/>
          <w:sz w:val="20"/>
          <w:szCs w:val="20"/>
        </w:rPr>
        <w:t xml:space="preserve">Proximate cause "is that cause which in the natural and continuous sequence, unbroken by an efficient intervening cause, produces the injury and without which the injury would not have occurred." </w:t>
      </w:r>
      <w:r>
        <w:rPr>
          <w:color w:val="333333"/>
          <w:sz w:val="20"/>
          <w:szCs w:val="20"/>
        </w:rPr>
        <w:t xml:space="preserve">. . . </w:t>
      </w:r>
      <w:r w:rsidRPr="00607768">
        <w:rPr>
          <w:color w:val="333333"/>
          <w:sz w:val="20"/>
          <w:szCs w:val="20"/>
        </w:rPr>
        <w:t xml:space="preserve">The basic requirements in establishing proximate cause are that the plaintiff establish but for causation, that the injury be the natural and probable result of the negligence, and that there be no efficient intervening cause. </w:t>
      </w:r>
      <w:r>
        <w:rPr>
          <w:color w:val="333333"/>
          <w:sz w:val="20"/>
          <w:szCs w:val="20"/>
        </w:rPr>
        <w:t xml:space="preserve">. . . </w:t>
      </w:r>
      <w:r w:rsidRPr="00607768">
        <w:rPr>
          <w:color w:val="333333"/>
          <w:sz w:val="20"/>
          <w:szCs w:val="20"/>
        </w:rPr>
        <w:t>The testimony outlined above concerning the defective power cord demonstrates that but for causation existed. The second element of proximate cause is satisfied because an electrical shock is the natural and probable result of coming into contact with a metal structure, such as the cabinet of a vending machine, that is sitting on a frayed power cord. According to the expert testimony Fischer produced, his impotence resulted from the electrical shock he received. Although Pepsi argued that the cord  may have been damaged by someone moving or shaking the machine and causing it to land on the power cord--an efficient intervening cause</w:t>
      </w:r>
      <w:r>
        <w:rPr>
          <w:color w:val="333333"/>
          <w:sz w:val="20"/>
          <w:szCs w:val="20"/>
        </w:rPr>
        <w:t xml:space="preserve">— </w:t>
      </w:r>
      <w:r w:rsidRPr="00607768">
        <w:rPr>
          <w:color w:val="333333"/>
          <w:sz w:val="20"/>
          <w:szCs w:val="20"/>
        </w:rPr>
        <w:t xml:space="preserve">there was testimony that an empty vending machine weighs five-hundred pounds and a fully stocked one weighs six-hundred pounds. Based on the above facts and testimony, the jury was free to find that Pepsi's negligence was the proximate cause of Fischer's injury. </w:t>
      </w:r>
      <w:r>
        <w:rPr>
          <w:color w:val="333333"/>
          <w:sz w:val="20"/>
          <w:szCs w:val="20"/>
        </w:rPr>
        <w:t xml:space="preserve">. . . . </w:t>
      </w:r>
      <w:r w:rsidRPr="00607768">
        <w:rPr>
          <w:color w:val="333333"/>
          <w:sz w:val="20"/>
          <w:szCs w:val="20"/>
        </w:rPr>
        <w:br/>
      </w:r>
      <w:r w:rsidRPr="00607768">
        <w:rPr>
          <w:color w:val="333333"/>
          <w:sz w:val="20"/>
          <w:szCs w:val="20"/>
        </w:rPr>
        <w:br/>
        <w:t xml:space="preserve">Here, Pepsi owned, maintained, and stocked the vending machine located in the Red Lion hotel. This machine was part of a group of approximately 10,000 machines Pepsi operated. Pepsi made a profit with this vending machine through the sale of pop, and, consequently, installed the machine for its own business interest. </w:t>
      </w:r>
      <w:r>
        <w:rPr>
          <w:color w:val="333333"/>
          <w:sz w:val="20"/>
          <w:szCs w:val="20"/>
        </w:rPr>
        <w:t xml:space="preserve">. . . . </w:t>
      </w:r>
      <w:smartTag w:uri="urn:schemas-microsoft-com:office:smarttags" w:element="place">
        <w:smartTag w:uri="urn:schemas-microsoft-com:office:smarttags" w:element="State">
          <w:r w:rsidRPr="00607768">
            <w:rPr>
              <w:color w:val="333333"/>
              <w:sz w:val="20"/>
              <w:szCs w:val="20"/>
            </w:rPr>
            <w:t>Nebraska</w:t>
          </w:r>
        </w:smartTag>
      </w:smartTag>
      <w:r w:rsidRPr="00607768">
        <w:rPr>
          <w:color w:val="333333"/>
          <w:sz w:val="20"/>
          <w:szCs w:val="20"/>
        </w:rPr>
        <w:t xml:space="preserve"> law imposed a duty  of inspection on Pepsi.</w:t>
      </w:r>
      <w:r>
        <w:rPr>
          <w:color w:val="333333"/>
          <w:sz w:val="20"/>
          <w:szCs w:val="20"/>
        </w:rPr>
        <w:t xml:space="preserve"> . . . </w:t>
      </w:r>
      <w:r w:rsidR="004862C6">
        <w:rPr>
          <w:color w:val="333333"/>
          <w:sz w:val="20"/>
          <w:szCs w:val="20"/>
        </w:rPr>
        <w:br/>
      </w:r>
      <w:r w:rsidR="004862C6">
        <w:rPr>
          <w:color w:val="333333"/>
          <w:sz w:val="20"/>
          <w:szCs w:val="20"/>
        </w:rPr>
        <w:br/>
      </w:r>
    </w:p>
    <w:p w:rsidR="00032A5B" w:rsidRPr="0018063D" w:rsidRDefault="00032A5B" w:rsidP="00032A5B">
      <w:pPr>
        <w:pStyle w:val="Heading7"/>
        <w:rPr>
          <w:sz w:val="20"/>
        </w:rPr>
      </w:pPr>
      <w:r w:rsidRPr="0018063D">
        <w:rPr>
          <w:bCs/>
          <w:sz w:val="20"/>
        </w:rPr>
        <w:t>Conclusion</w:t>
      </w:r>
    </w:p>
    <w:p w:rsidR="00032A5B" w:rsidRDefault="00032A5B" w:rsidP="00032A5B">
      <w:pPr>
        <w:pStyle w:val="Heading7"/>
        <w:numPr>
          <w:ilvl w:val="0"/>
          <w:numId w:val="0"/>
        </w:numPr>
        <w:rPr>
          <w:b/>
          <w:bCs/>
          <w:sz w:val="20"/>
        </w:rPr>
      </w:pPr>
    </w:p>
    <w:p w:rsidR="00032A5B" w:rsidRDefault="00032A5B" w:rsidP="00032A5B">
      <w:pPr>
        <w:pStyle w:val="Heading7"/>
        <w:numPr>
          <w:ilvl w:val="0"/>
          <w:numId w:val="0"/>
        </w:numPr>
        <w:rPr>
          <w:sz w:val="20"/>
        </w:rPr>
      </w:pPr>
      <w:r w:rsidRPr="00286D61">
        <w:rPr>
          <w:sz w:val="20"/>
        </w:rPr>
        <w:t>For the reasons stated above, we affirm the judgment of the district court.</w:t>
      </w:r>
    </w:p>
    <w:p w:rsidR="00032A5B" w:rsidRDefault="00032A5B" w:rsidP="00032A5B">
      <w:pPr>
        <w:jc w:val="center"/>
      </w:pPr>
      <w:r>
        <w:br w:type="page"/>
      </w:r>
      <w:r>
        <w:lastRenderedPageBreak/>
        <w:t>JEFFREY SCHICK, Plaintiff-Respondent, v. JOHN FEROLITO, Defendant-Appellant.</w:t>
      </w:r>
    </w:p>
    <w:p w:rsidR="00032A5B" w:rsidRDefault="00032A5B" w:rsidP="00032A5B">
      <w:pPr>
        <w:jc w:val="center"/>
      </w:pPr>
    </w:p>
    <w:p w:rsidR="00032A5B" w:rsidRDefault="00816162" w:rsidP="00032A5B">
      <w:pPr>
        <w:jc w:val="center"/>
      </w:pPr>
      <w:r>
        <w:t>Supreme Court o</w:t>
      </w:r>
      <w:r w:rsidR="00032A5B">
        <w:t xml:space="preserve">f </w:t>
      </w:r>
      <w:smartTag w:uri="urn:schemas-microsoft-com:office:smarttags" w:element="place">
        <w:smartTag w:uri="urn:schemas-microsoft-com:office:smarttags" w:element="State">
          <w:r w:rsidR="00032A5B">
            <w:t>New Jersey</w:t>
          </w:r>
        </w:smartTag>
      </w:smartTag>
    </w:p>
    <w:p w:rsidR="00032A5B" w:rsidRDefault="00032A5B" w:rsidP="00032A5B">
      <w:pPr>
        <w:jc w:val="center"/>
      </w:pPr>
      <w:r>
        <w:t>167 N.J. 7; 767 A.2d 962</w:t>
      </w:r>
    </w:p>
    <w:p w:rsidR="00032A5B" w:rsidRDefault="00032A5B" w:rsidP="00032A5B">
      <w:pPr>
        <w:pStyle w:val="NormalWeb"/>
        <w:jc w:val="center"/>
        <w:rPr>
          <w:sz w:val="20"/>
        </w:rPr>
      </w:pPr>
      <w:r>
        <w:rPr>
          <w:sz w:val="20"/>
        </w:rPr>
        <w:t xml:space="preserve">Decided </w:t>
      </w:r>
      <w:smartTag w:uri="urn:schemas-microsoft-com:office:smarttags" w:element="date">
        <w:smartTagPr>
          <w:attr w:name="ls" w:val="trans"/>
          <w:attr w:name="Month" w:val="3"/>
          <w:attr w:name="Day" w:val="12"/>
          <w:attr w:name="Year" w:val="2001"/>
        </w:smartTagPr>
        <w:r>
          <w:rPr>
            <w:sz w:val="20"/>
          </w:rPr>
          <w:t>March 12, 2001</w:t>
        </w:r>
      </w:smartTag>
    </w:p>
    <w:p w:rsidR="00032A5B" w:rsidRDefault="00032A5B" w:rsidP="00032A5B">
      <w:pPr>
        <w:pStyle w:val="NormalWeb"/>
        <w:spacing w:before="0" w:beforeAutospacing="0" w:after="0" w:afterAutospacing="0"/>
        <w:jc w:val="both"/>
        <w:rPr>
          <w:sz w:val="20"/>
        </w:rPr>
      </w:pPr>
    </w:p>
    <w:p w:rsidR="00032A5B" w:rsidRDefault="00032A5B" w:rsidP="00032A5B">
      <w:pPr>
        <w:pStyle w:val="NormalWeb"/>
        <w:spacing w:before="0" w:beforeAutospacing="0" w:after="0" w:afterAutospacing="0"/>
        <w:jc w:val="both"/>
        <w:rPr>
          <w:sz w:val="20"/>
        </w:rPr>
      </w:pPr>
      <w:r>
        <w:rPr>
          <w:sz w:val="20"/>
        </w:rPr>
        <w:t>The opinion of the Court was delivered by LaVECCHIA, J.</w:t>
      </w:r>
    </w:p>
    <w:p w:rsidR="00032A5B" w:rsidRDefault="00032A5B" w:rsidP="00032A5B">
      <w:pPr>
        <w:pStyle w:val="NormalWeb"/>
        <w:spacing w:after="120"/>
        <w:jc w:val="both"/>
        <w:rPr>
          <w:sz w:val="20"/>
        </w:rPr>
      </w:pPr>
      <w:r>
        <w:rPr>
          <w:sz w:val="20"/>
        </w:rPr>
        <w:t xml:space="preserve">    On </w:t>
      </w:r>
      <w:smartTag w:uri="urn:schemas-microsoft-com:office:smarttags" w:element="date">
        <w:smartTagPr>
          <w:attr w:name="Month" w:val="7"/>
          <w:attr w:name="Day" w:val="27"/>
          <w:attr w:name="Year" w:val="1994"/>
        </w:smartTagPr>
        <w:r>
          <w:rPr>
            <w:sz w:val="20"/>
          </w:rPr>
          <w:t>July 27, 1994</w:t>
        </w:r>
      </w:smartTag>
      <w:r>
        <w:rPr>
          <w:sz w:val="20"/>
        </w:rPr>
        <w:t xml:space="preserve">, two pairs of golfers reached the tenth hole of East Orange Golf Course and agreed there to play the rest of the course as a foursome. Plaintiff Jeffrey Schick and his father, Wolfgang Schick, played the ensuing holes with defendant John Ferolito and Tom Ganella.  At the tee-box on the sixteenth hole, a par four straightaway approximately 300 yards in length, an errant ball hit off the tee by defendant struck plaintiff in the right eye causing personal injuries.  According to plaintiff, defendant hit an unannounced and unexpected second tee shot, or “mulligan,” after all members of the foursome had teed off.  Defendant moved for summary judgment, claiming that the heightened standard of care established by </w:t>
      </w:r>
      <w:r>
        <w:rPr>
          <w:sz w:val="20"/>
          <w:u w:val="single"/>
        </w:rPr>
        <w:t>Crawn v. Campo</w:t>
      </w:r>
      <w:r>
        <w:rPr>
          <w:sz w:val="20"/>
        </w:rPr>
        <w:t>, (1994), should apply to participants in the game of golf. That duty of care is “to avoid the infliction of injury caused by reckless or intentional conduct.”</w:t>
      </w:r>
    </w:p>
    <w:p w:rsidR="00032A5B" w:rsidRDefault="00032A5B" w:rsidP="00032A5B">
      <w:pPr>
        <w:pStyle w:val="NormalWeb"/>
        <w:spacing w:after="120"/>
        <w:jc w:val="both"/>
        <w:rPr>
          <w:sz w:val="20"/>
        </w:rPr>
      </w:pPr>
      <w:r>
        <w:rPr>
          <w:sz w:val="20"/>
        </w:rPr>
        <w:t xml:space="preserve">    The trial court agreed that a recklessness standard applied and dismissed the action. The Appellate Division reversed, holding that the case was distinguishable from </w:t>
      </w:r>
      <w:r>
        <w:rPr>
          <w:sz w:val="20"/>
          <w:u w:val="single"/>
        </w:rPr>
        <w:t>Crawn</w:t>
      </w:r>
      <w:r>
        <w:rPr>
          <w:sz w:val="20"/>
        </w:rPr>
        <w:t xml:space="preserve"> and that the negligence standard of care was applicable. . . . The panel reasoned that the recklessness standard was appropriate in “rough and tumble” sports, where “'anticipated risks . . . are an inherent or integral part of the game.'”  As for golf, the court stated that the heightened standard would be appropriate only for anticipated risks of the game, such as errant or shanked balls, but not for unanticipated risks, such as an “unexpected Mulligan” as occurred here.  Because </w:t>
      </w:r>
      <w:r>
        <w:rPr>
          <w:sz w:val="20"/>
          <w:u w:val="single"/>
        </w:rPr>
        <w:t>Crawn</w:t>
      </w:r>
      <w:r>
        <w:rPr>
          <w:sz w:val="20"/>
        </w:rPr>
        <w:t xml:space="preserve"> may have left open the question of whether the recklessness standard should apply generally to conduct in recreational sporting contexts, including golf, we granted certification.</w:t>
      </w:r>
    </w:p>
    <w:p w:rsidR="00032A5B" w:rsidRDefault="00032A5B" w:rsidP="00032A5B">
      <w:pPr>
        <w:spacing w:after="120"/>
        <w:jc w:val="both"/>
      </w:pPr>
      <w:r>
        <w:t>I.</w:t>
      </w:r>
    </w:p>
    <w:p w:rsidR="00032A5B" w:rsidRDefault="00032A5B" w:rsidP="00032A5B">
      <w:pPr>
        <w:spacing w:after="120"/>
        <w:jc w:val="both"/>
      </w:pPr>
      <w:r>
        <w:t>     According to plaintiff, he and his father met defendant and Ganella at the tenth tee and the four decided to play as a group, which would speed up play.  It was dusk, and there were nine holes remaining to play. They played without incident until the sixteenth hole.  There, plaintiff and his father teed off first. He and his father then left the tee-box area, returned to their golf cart, placed their clubs in their golf bags, and proceeded to sit down in the cart.  Plaintiff described his cart as located ahead of the tee-box area at a forty-five-degree angle to the left.</w:t>
      </w:r>
    </w:p>
    <w:p w:rsidR="00032A5B" w:rsidRDefault="00032A5B" w:rsidP="00032A5B">
      <w:pPr>
        <w:spacing w:after="120"/>
        <w:jc w:val="both"/>
      </w:pPr>
      <w:r>
        <w:t xml:space="preserve">    Seated in the driver's position, plaintiff looked back over his right shoulder toward the teeing area and observed defendant about to strike a ball off the tee. Plaintiff claims that defendant and Ganella already had hit their tee shots and that defendant was hitting an unannounced second drive off the tee. Plaintiff stated that defendant's first ball had sliced, or angled sharply, off to the right, toward a series of trees situated along the right side of the fairway, but in an area where no out-of-bounds markers were located. Thus, while it might have presented a poor location for his next shot, defendant's first ball was still “in-play.” </w:t>
      </w:r>
    </w:p>
    <w:p w:rsidR="00032A5B" w:rsidRDefault="00032A5B" w:rsidP="00032A5B">
      <w:pPr>
        <w:spacing w:after="120"/>
        <w:jc w:val="both"/>
      </w:pPr>
      <w:r>
        <w:t xml:space="preserve">    Although he saw defendant in a tee-off stance, plaintiff said he did not have time to move out of the way. He had only a few seconds to think about what was happening when defendant commenced his swing and hit his second tee shot. The ball struck plaintiff in the right eye socket, rendering him temporarily unconscious. </w:t>
      </w:r>
    </w:p>
    <w:p w:rsidR="00032A5B" w:rsidRDefault="00032A5B" w:rsidP="00032A5B">
      <w:pPr>
        <w:spacing w:after="120"/>
        <w:jc w:val="both"/>
      </w:pPr>
      <w:r>
        <w:t xml:space="preserve">    Defendant gives a different version of what transpired. He did not recall if it was his first or second shot off the tee. Defendant claims that he and plaintiff made eye contact before defendant teed off and that he gave a hand warning, described as a “wave,” to plaintiff to move aside. According to defendant, plaintiff's cart was approximately thirty feet ahead, at a forty- five-degree angle, of where he was taking his stance to drive the ball onto the fairway. Defendant states he was trying to hit the ball straight down the middle of the fairway, and plaintiff similarly testified that defendant was not trying to hit in plaintiff's direction. Nevertheless, defendant explained that he waved plaintiff to move aside because defendant believed plaintiff “was in the line of fire.” </w:t>
      </w:r>
    </w:p>
    <w:p w:rsidR="00A4788F" w:rsidRDefault="00A4788F" w:rsidP="00032A5B">
      <w:pPr>
        <w:spacing w:after="120"/>
        <w:jc w:val="both"/>
      </w:pPr>
    </w:p>
    <w:p w:rsidR="00A4788F" w:rsidRDefault="00A4788F" w:rsidP="00032A5B">
      <w:pPr>
        <w:spacing w:after="120"/>
        <w:jc w:val="both"/>
      </w:pPr>
    </w:p>
    <w:p w:rsidR="00032A5B" w:rsidRDefault="00032A5B" w:rsidP="00032A5B">
      <w:pPr>
        <w:spacing w:after="120"/>
        <w:jc w:val="both"/>
      </w:pPr>
      <w:r>
        <w:lastRenderedPageBreak/>
        <w:t>II.</w:t>
      </w:r>
    </w:p>
    <w:p w:rsidR="00032A5B" w:rsidRDefault="00032A5B" w:rsidP="00032A5B">
      <w:pPr>
        <w:spacing w:after="120"/>
        <w:jc w:val="both"/>
      </w:pPr>
      <w:r>
        <w:t xml:space="preserve">    In </w:t>
      </w:r>
      <w:r>
        <w:rPr>
          <w:u w:val="single"/>
        </w:rPr>
        <w:t>Crawn</w:t>
      </w:r>
      <w:r>
        <w:t xml:space="preserve">, the Court considered the nature of a sports participant's duty to avoid inflicting physical injury on another player. . .  In that case, a catcher suffered an injury when a base runner slid into home plate during an informal softball game. Our holding in </w:t>
      </w:r>
      <w:r>
        <w:rPr>
          <w:u w:val="single"/>
        </w:rPr>
        <w:t>Crawn</w:t>
      </w:r>
      <w:r>
        <w:t xml:space="preserve"> was stated broadly. “[T]he duty of care applicable to participants in informal recreational sports is to avoid the infliction of injury caused by reckless or intentional conduct.”   Two important considerations supported the decision to apply a standard of care that exceeded negligence: the promotion of vigorous participation in athletic activities, and the avoidance of a flood of litigation generated by participation in recreational games and sports. The Court determined that those policies outweighed concerns that raising the standard of care implicitly immunized conduct that otherwise would be considered tortious and actionable.</w:t>
      </w:r>
    </w:p>
    <w:p w:rsidR="00032A5B" w:rsidRDefault="00032A5B" w:rsidP="00032A5B">
      <w:pPr>
        <w:spacing w:after="120"/>
        <w:jc w:val="both"/>
      </w:pPr>
      <w:r>
        <w:t>    In applying the recklessness standard, the Court sought to avoid the complexities inherent in applying a negligence standard to conduct in recreational sports. The Court reasoned that in that context, “a legal duty of care based on the standard of what, objectively, an average reasonable person would do under the circumstances is illusory, and is not susceptible to sound and consistent application on a case-by-case basis.”  Ascertaining whether a participant acted so as to create a risk of harm that was not a normal or ordinary part of the game is a difficult task. The Court explained further: Our conclusion that a recklessness standard is the appropriate one to apply in the sports context is founded on more than a concern for a court's ability to discern adequately what constitutes reasonable conduct under the highly varied circumstances of informal sports activity. The heightened standard will more likely result in affixing liability for conduct that is clearly unreasonable and unacceptable from the perspective of those engaged in the sport yet leaving free from the supervision of the law the risk-laden conduct that is inherent in sports and more often than not assumed to be “part of the game.”</w:t>
      </w:r>
    </w:p>
    <w:p w:rsidR="00032A5B" w:rsidRDefault="00032A5B" w:rsidP="00032A5B">
      <w:pPr>
        <w:spacing w:after="120"/>
        <w:jc w:val="both"/>
      </w:pPr>
      <w:r>
        <w:t>    One might well conclude that something is terribly wrong with a society in which the most commonly-accepted aspects of play—a traditional source of a community's conviviality and cohesion—spurs litigation. The heightened recklessness standard recognizes a commonsense distinction between excessively harmful conduct and the more routine rough-and-tumble of sports that should occur freely on the playing fields . . .</w:t>
      </w:r>
    </w:p>
    <w:p w:rsidR="00032A5B" w:rsidRDefault="00032A5B" w:rsidP="00032A5B">
      <w:pPr>
        <w:spacing w:after="120"/>
        <w:jc w:val="both"/>
      </w:pPr>
      <w:r>
        <w:t xml:space="preserve">  The Court's holding in </w:t>
      </w:r>
      <w:r>
        <w:rPr>
          <w:u w:val="single"/>
        </w:rPr>
        <w:t>Crawn</w:t>
      </w:r>
      <w:r>
        <w:t xml:space="preserve"> placed </w:t>
      </w:r>
      <w:smartTag w:uri="urn:schemas-microsoft-com:office:smarttags" w:element="place">
        <w:smartTag w:uri="urn:schemas-microsoft-com:office:smarttags" w:element="State">
          <w:r>
            <w:t>New Jersey</w:t>
          </w:r>
        </w:smartTag>
      </w:smartTag>
      <w:r>
        <w:t xml:space="preserve"> among the majority of jurisdictions that apply the recklessness standard of care to determine the duty that recreational players owe to one another. </w:t>
      </w:r>
      <w:r>
        <w:rPr>
          <w:u w:val="single"/>
        </w:rPr>
        <w:t>See, e.g.</w:t>
      </w:r>
      <w:r>
        <w:t xml:space="preserve">, </w:t>
      </w:r>
      <w:r>
        <w:rPr>
          <w:u w:val="single"/>
        </w:rPr>
        <w:t>Knight v. Jewett</w:t>
      </w:r>
      <w:r>
        <w:t>, 843 P. 696 (</w:t>
      </w:r>
      <w:smartTag w:uri="urn:schemas-microsoft-com:office:smarttags" w:element="place">
        <w:smartTag w:uri="urn:schemas-microsoft-com:office:smarttags" w:element="State">
          <w:r>
            <w:t>Cal.</w:t>
          </w:r>
        </w:smartTag>
      </w:smartTag>
      <w:r>
        <w:t xml:space="preserve"> 1992) (applying recklessness standard to injury in touch football); . . . </w:t>
      </w:r>
    </w:p>
    <w:p w:rsidR="00032A5B" w:rsidRDefault="00032A5B" w:rsidP="00032A5B">
      <w:pPr>
        <w:spacing w:after="120"/>
        <w:jc w:val="both"/>
      </w:pPr>
      <w:r>
        <w:t>    </w:t>
      </w:r>
      <w:smartTag w:uri="urn:schemas-microsoft-com:office:smarttags" w:element="place">
        <w:smartTag w:uri="urn:schemas-microsoft-com:office:smarttags" w:element="State">
          <w:r>
            <w:t>California</w:t>
          </w:r>
        </w:smartTag>
      </w:smartTag>
      <w:r>
        <w:t xml:space="preserve"> also applies the recklessness standard of care to golf.  In </w:t>
      </w:r>
      <w:r>
        <w:rPr>
          <w:u w:val="single"/>
        </w:rPr>
        <w:t>Dilger v. Moyles</w:t>
      </w:r>
      <w:r>
        <w:t xml:space="preserve">, 63 Cal. Rptr.2d 591 (Cal. Ct. App. 1997), the California Court of Appeals held that a participant in golf owes no duty to co-participants unless he or she intentionally injures another player or engages in reckless conduct that is totally outside the range of the ordinary activity involved in the sport. The court reasoned that participants assume those risks of injury inherent in the sport.  Even a rule violation, in and of itself, is not sufficient to meet that heightened standard, as the court stated:  [E]ven when a participant's conduct violates a rule of the game and may subject the violator to internal sanctions prescribed by the sport itself, imposition of </w:t>
      </w:r>
      <w:r>
        <w:rPr>
          <w:i/>
        </w:rPr>
        <w:t>legal liability</w:t>
      </w:r>
      <w:r>
        <w:t xml:space="preserve"> for such conduct might well alter fundamentally the nature of the sport by deterring participants from vigorously engaging in activity that falls close to, but on the permissible side of, a prescribed rule.  The court reasoned that a lower standard of care could deter people from participating in golf and cause them to forego the benefits of the sport, such as exercise and socialization. </w:t>
      </w:r>
    </w:p>
    <w:p w:rsidR="00032A5B" w:rsidRDefault="00032A5B" w:rsidP="00032A5B">
      <w:pPr>
        <w:spacing w:after="120"/>
        <w:jc w:val="both"/>
      </w:pPr>
      <w:r>
        <w:t> . . . . The policies of promotion of vigorous participation in recreational sports and the avoidance of a flood of litigation over sports accidents are furthered by the application of the heightened standard of care to all recreational sports. We perceive no persuasive reason to apply an artificial distinction between “contact” and “noncontact” sports. . . . The risk arises in myriad forms and for many reasons.  It may arise from the physical nature of the athletic endeavor creating the possibility, or likelihood, of direct physical contact with another player or with a ball thrown or hit among players. Risk of injury also is as real when it arises from an instrumentality used in a game, such as a golf club a golfer swings or the small hard ball the club propels at a very high rate of speed. Even for an experienced golfer of some proficiency, the course a golf ball takes is often unpredictable through no conscious fault of the golfer. . . .  Is golf a contact sport? Obviously a golfer accepts the risks of coming in contact with wayward golf shots on the links, so golf is more dangerous than table tennis, for instance, but certainly not as dangerous as kickboxing.</w:t>
      </w:r>
    </w:p>
    <w:p w:rsidR="00032A5B" w:rsidRDefault="00032A5B" w:rsidP="00032A5B">
      <w:pPr>
        <w:spacing w:after="120"/>
        <w:jc w:val="both"/>
      </w:pPr>
      <w:r>
        <w:t xml:space="preserve">    The applicability of the heightened standard of care for causes of action for personal injuries occurring in recreational sports should not depend on which sport is involved and whether it is commonly perceived as a “contact” or “noncontact” sport. The recklessness or intentional conduct standard of care articulated in </w:t>
      </w:r>
      <w:r>
        <w:rPr>
          <w:u w:val="single"/>
        </w:rPr>
        <w:t>Crawn</w:t>
      </w:r>
      <w:r>
        <w:t xml:space="preserve"> was not meant to be applied in a crabbed fashion. That standard represented the enunciation of a more modern approach to our common law in actions for personal injuries that generally occur during recreational sporting activities. It is the pertinent standard for assessing the </w:t>
      </w:r>
      <w:r>
        <w:lastRenderedPageBreak/>
        <w:t xml:space="preserve">duty of one sports participant to another concerning conduct on golf courses and tennis courts, as well as conduct on basketball courts and ice rinks. </w:t>
      </w:r>
    </w:p>
    <w:p w:rsidR="00A4788F" w:rsidRDefault="00A4788F" w:rsidP="00032A5B">
      <w:pPr>
        <w:pStyle w:val="BodyText"/>
        <w:spacing w:after="120"/>
        <w:jc w:val="both"/>
      </w:pPr>
    </w:p>
    <w:p w:rsidR="00032A5B" w:rsidRDefault="00032A5B" w:rsidP="00032A5B">
      <w:pPr>
        <w:pStyle w:val="BodyText"/>
        <w:spacing w:after="120"/>
        <w:jc w:val="both"/>
      </w:pPr>
      <w:r>
        <w:t>III.</w:t>
      </w:r>
    </w:p>
    <w:p w:rsidR="00032A5B" w:rsidRDefault="00032A5B" w:rsidP="00032A5B">
      <w:pPr>
        <w:spacing w:after="120"/>
        <w:jc w:val="both"/>
      </w:pPr>
      <w:r>
        <w:t>    Application of a recklessness or intentional conduct standard to a cause of action involving a golfing injury should not convert a golf course into a free-fire zone. But application of a recklessness standard in a golf setting will affect the analysis of the probability of harm and the defendant's indifference to that harm. The question presented here is whether plaintiff's case can survive a summary judgment motion under a recklessness standard. . . .  The Restatement (Second) of Torts articulates the standard as follows, contrasting negligence and recklessness: The actor's conduct is in reckless disregard of the safety of another if he does an act or intentionally fails to do an act which it is his duty to the other to do, knowing or having reason to know of facts which would lead a reasonable man to realize, not only that his conduct creates an unreasonable risk of physical harm to another, but also that such risk is substantially greater than that which is necessary to make his conduct negligent.  [</w:t>
      </w:r>
      <w:r>
        <w:rPr>
          <w:u w:val="single"/>
        </w:rPr>
        <w:t>Restatement (Second) of Torts</w:t>
      </w:r>
      <w:r>
        <w:t xml:space="preserve"> § 500 at 587 (1965).]</w:t>
      </w:r>
    </w:p>
    <w:p w:rsidR="00032A5B" w:rsidRDefault="00032A5B" w:rsidP="00032A5B">
      <w:pPr>
        <w:pStyle w:val="NormalWeb"/>
        <w:spacing w:after="120"/>
        <w:jc w:val="both"/>
        <w:rPr>
          <w:sz w:val="20"/>
        </w:rPr>
      </w:pPr>
      <w:r>
        <w:rPr>
          <w:sz w:val="20"/>
        </w:rPr>
        <w:t xml:space="preserve">     Recklessness, unlike negligence, requires a conscious choice of a course of action, with knowledge or a reason to know that it will create serious danger to others. Negligence may consist of an intentional act done with knowledge that it creates a risk of danger to others, but recklessness requires a substantially higher risk. The quantum of risk is the important factor. </w:t>
      </w:r>
    </w:p>
    <w:p w:rsidR="00032A5B" w:rsidRDefault="00032A5B" w:rsidP="00032A5B">
      <w:pPr>
        <w:pStyle w:val="NormalWeb"/>
        <w:spacing w:after="120"/>
        <w:jc w:val="both"/>
        <w:rPr>
          <w:sz w:val="20"/>
        </w:rPr>
      </w:pPr>
      <w:r>
        <w:rPr>
          <w:sz w:val="20"/>
        </w:rPr>
        <w:t xml:space="preserve">    Application of that standard to this matter requires an analysis of whether a finding of recklessness would be open to the jury. If so, summary judgment rightfully was denied defendant and the matter should proceed to trial. As was the case in </w:t>
      </w:r>
      <w:r>
        <w:rPr>
          <w:sz w:val="20"/>
          <w:u w:val="single"/>
        </w:rPr>
        <w:t>Allen</w:t>
      </w:r>
      <w:r>
        <w:rPr>
          <w:sz w:val="20"/>
        </w:rPr>
        <w:t>, we find that this case presents a question of recklessness that is properly for a jury to determine.</w:t>
      </w:r>
    </w:p>
    <w:p w:rsidR="00032A5B" w:rsidRDefault="00032A5B" w:rsidP="00032A5B">
      <w:pPr>
        <w:pStyle w:val="NormalWeb"/>
        <w:spacing w:after="120"/>
        <w:jc w:val="both"/>
        <w:rPr>
          <w:sz w:val="20"/>
        </w:rPr>
      </w:pPr>
      <w:r>
        <w:rPr>
          <w:sz w:val="20"/>
        </w:rPr>
        <w:t>    The facts are in conflict, but they are open to an interpretation that defendant did hit a second shot off the tee without telling the others in his playing group that he was about to do so. That version of the facts explains the so-called “mulligan” reference by the Appellate Division. Defendant's conduct in that respect is certainly relevant, but of itself is not determinative of the quality of his act. Although the formal rules of golf do not recognize the term “mulligan,” informal custom may permit that familiar “do-over.” And the formal rules of the game allow for the taking of a second, or “provisional shot,” if certain conditions are met. . . . As a practical matter, technical compliance with the rules at times may be lax on the course, but that should not compel a determination of recklessness. It is but one factor in the totality of circumstances to be examined in the context of a defendant's motion for summary judgment under a recklessness standard of care in a recreational sports context.</w:t>
      </w:r>
    </w:p>
    <w:p w:rsidR="00032A5B" w:rsidRDefault="00032A5B" w:rsidP="00032A5B">
      <w:pPr>
        <w:pStyle w:val="NormalWeb"/>
        <w:spacing w:after="120"/>
        <w:jc w:val="both"/>
        <w:rPr>
          <w:sz w:val="20"/>
        </w:rPr>
      </w:pPr>
      <w:r>
        <w:rPr>
          <w:sz w:val="20"/>
        </w:rPr>
        <w:t>    What does bear emphasis in this matter is defendant's own testimony that he perceived plaintiff to be in the “line of fire” and that he waved plaintiff off in an effort to induce plaintiff to move from his location. Plaintiff did not move, or defendant did not wait for him to move, and defendant hit anyway. That scenario presents a set of facts that a jury could find constitutes reckless conduct because it may reflect a conscious choice of a course of action with knowledge or reason to know that the action will create serious danger to others.</w:t>
      </w:r>
    </w:p>
    <w:p w:rsidR="00032A5B" w:rsidRDefault="00032A5B" w:rsidP="00032A5B">
      <w:pPr>
        <w:pStyle w:val="NormalWeb"/>
        <w:spacing w:after="120"/>
        <w:jc w:val="both"/>
        <w:rPr>
          <w:sz w:val="20"/>
        </w:rPr>
      </w:pPr>
      <w:r>
        <w:rPr>
          <w:sz w:val="20"/>
        </w:rPr>
        <w:t>. . . .    We conclude that plaintiff's case, even analyzed under a recklessness standard of care, survives defendant's motion for summary judgment and should proceed to trial.    In conclusion, we hold that the recklessness or intentional conduct standard of care applies generally to conduct in recreational sporting contexts, including golf.  Notwithstanding that holding, this matter must proceed to trial.  Properly instructed on the heightened standard of care, a jury must resolve the disputed facts that encompass allegations of reckless conduct by defendant.</w:t>
      </w:r>
    </w:p>
    <w:p w:rsidR="00032A5B" w:rsidRDefault="00032A5B" w:rsidP="00032A5B">
      <w:pPr>
        <w:spacing w:after="120"/>
        <w:jc w:val="both"/>
      </w:pPr>
      <w:r>
        <w:t>IV.</w:t>
      </w:r>
    </w:p>
    <w:p w:rsidR="00032A5B" w:rsidRDefault="00032A5B" w:rsidP="00032A5B">
      <w:pPr>
        <w:spacing w:after="120"/>
        <w:jc w:val="both"/>
      </w:pPr>
      <w:r>
        <w:t>    The judgment of the Appellate Division is affirmed, as modified. The matter is remanded to the Law Division for trial.</w:t>
      </w:r>
    </w:p>
    <w:p w:rsidR="00A4788F" w:rsidRDefault="00A4788F" w:rsidP="00032A5B">
      <w:pPr>
        <w:spacing w:after="120"/>
        <w:jc w:val="both"/>
      </w:pPr>
    </w:p>
    <w:p w:rsidR="00032A5B" w:rsidRDefault="00032A5B" w:rsidP="00032A5B">
      <w:pPr>
        <w:spacing w:after="120"/>
        <w:jc w:val="both"/>
      </w:pPr>
      <w:r>
        <w:t xml:space="preserve"> CHIEF JUSTICE PORITZ and JUSTICES STEIN, COLEMAN, LONG and ZAZZALI join in JUSTICE LaVECCHIA's opinion. </w:t>
      </w:r>
      <w:r w:rsidR="00A4788F">
        <w:t xml:space="preserve"> </w:t>
      </w:r>
      <w:r>
        <w:t xml:space="preserve">JUSTICE VERNIERO filed a separate opinion concurring in part and dissenting in part. </w:t>
      </w:r>
    </w:p>
    <w:p w:rsidR="00032A5B" w:rsidRDefault="00032A5B" w:rsidP="00032A5B">
      <w:pPr>
        <w:pStyle w:val="NormalWeb"/>
        <w:spacing w:after="120"/>
        <w:jc w:val="both"/>
        <w:rPr>
          <w:sz w:val="20"/>
        </w:rPr>
      </w:pPr>
    </w:p>
    <w:p w:rsidR="00032A5B" w:rsidRDefault="00032A5B" w:rsidP="00032A5B">
      <w:pPr>
        <w:pStyle w:val="NormalWeb"/>
        <w:spacing w:after="120"/>
        <w:jc w:val="both"/>
        <w:rPr>
          <w:sz w:val="20"/>
        </w:rPr>
      </w:pPr>
      <w:r>
        <w:rPr>
          <w:sz w:val="20"/>
        </w:rPr>
        <w:lastRenderedPageBreak/>
        <w:t>VERNIERO, J., concurring in part, dissenting in part.</w:t>
      </w:r>
    </w:p>
    <w:p w:rsidR="00032A5B" w:rsidRDefault="00032A5B" w:rsidP="00032A5B">
      <w:pPr>
        <w:pStyle w:val="NormalWeb"/>
        <w:spacing w:after="120"/>
        <w:jc w:val="both"/>
        <w:rPr>
          <w:sz w:val="20"/>
        </w:rPr>
      </w:pPr>
      <w:r>
        <w:rPr>
          <w:sz w:val="20"/>
        </w:rPr>
        <w:t>    I concur in that part of the Court's opinion adopting the recklessness standard in recreational sporting contexts, including golf. The Court's analysis in that regard is persuasive. I respectfully dissent, however, from the majority's determination that there are disputed material facts warranting a trial in this case. Only the most egregious acts of golfers should give rise to liability in this setting. Because that standard has not been satisfied here, I would reverse the judgment of the Appellate Division and reinstate the trial court's summary disposition in favor of defendant.        </w:t>
      </w:r>
    </w:p>
    <w:p w:rsidR="00032A5B" w:rsidRDefault="00032A5B" w:rsidP="00032A5B">
      <w:pPr>
        <w:pStyle w:val="NormalWeb"/>
        <w:spacing w:after="120"/>
        <w:jc w:val="both"/>
        <w:rPr>
          <w:sz w:val="20"/>
        </w:rPr>
      </w:pPr>
      <w:r>
        <w:rPr>
          <w:sz w:val="20"/>
        </w:rPr>
        <w:t>. . . .     In sum, the judiciary should refrain from interposing any set of rules that would discourage the spirited pursuit of sporting games, unless those rules are clearly necessary to protect the public interest. Unfortunately, injuries do occur on the playing field, even in a non-contact sport like golf. On balance, the public is best served by having players assume the risks of those injuries absent egregious conduct on the part of their fellow participants. By my reading of the record, defendant's only “offense” is that he hit an errant ball. He intended no injury to plaintiff. Accordingly, the public is not harmed by sustaining the grant of summary judgment in favor of the amateur athlete in this case.</w:t>
      </w:r>
    </w:p>
    <w:p w:rsidR="00032A5B" w:rsidRDefault="00032A5B" w:rsidP="00032A5B">
      <w:pPr>
        <w:spacing w:after="120"/>
        <w:jc w:val="both"/>
      </w:pPr>
      <w:r>
        <w:t xml:space="preserve">. . . .       Mere negligence, no matter how gross, will not suffice as a basis for punitive damages. . . .    Here, the Court's disposition exposes this and similarly- situated defendants to the possibility of punitive damages. That possibility reinforces my view that the unintended consequence of the majority's holding is that it may foster more sports-related lawsuits and potentially punish well-intended athletes engaged in a variety of sports. Although it erred in applying the negligence standard, the Appellate Division below correctly concluded that “[u]nder plaintiff's version of the facts, defendant's conduct cannot be considered 'wantonly reckless' so punitive damages are not awardable.” I would rely on that conclusion as additional support to dismiss plaintiff's complaint as a matter of law. </w:t>
      </w:r>
    </w:p>
    <w:p w:rsidR="004C1B65" w:rsidRDefault="00032A5B" w:rsidP="00032A5B">
      <w:pPr>
        <w:pStyle w:val="Heading7"/>
        <w:numPr>
          <w:ilvl w:val="0"/>
          <w:numId w:val="0"/>
        </w:numPr>
        <w:rPr>
          <w:sz w:val="20"/>
        </w:rPr>
      </w:pPr>
      <w:r w:rsidRPr="00C27D5A">
        <w:rPr>
          <w:sz w:val="20"/>
        </w:rPr>
        <w:t xml:space="preserve">  . . .     For the reasons stated, the Court should reverse the judgment of the Appellate Division and reinstate the trial court's grant of summary judgment.</w:t>
      </w:r>
    </w:p>
    <w:p w:rsidR="004C1B65" w:rsidRDefault="004C1B65">
      <w:pPr>
        <w:spacing w:after="160" w:line="259" w:lineRule="auto"/>
      </w:pPr>
      <w:r>
        <w:br w:type="page"/>
      </w:r>
    </w:p>
    <w:p w:rsidR="00A4788F" w:rsidRPr="00A00FE1" w:rsidRDefault="00A4788F" w:rsidP="00A4788F">
      <w:pPr>
        <w:rPr>
          <w:rFonts w:cs="Courier"/>
          <w:color w:val="000000" w:themeColor="text1"/>
        </w:rPr>
        <w:sectPr w:rsidR="00A4788F" w:rsidRPr="00A00FE1" w:rsidSect="00A60813">
          <w:footerReference w:type="default" r:id="rId12"/>
          <w:footerReference w:type="first" r:id="rId13"/>
          <w:pgSz w:w="12240" w:h="15840"/>
          <w:pgMar w:top="1728" w:right="1296" w:bottom="1296" w:left="1296" w:header="720" w:footer="720" w:gutter="0"/>
          <w:pgNumType w:start="0"/>
          <w:cols w:space="720"/>
          <w:noEndnote/>
          <w:titlePg/>
          <w:docGrid w:linePitch="272"/>
        </w:sectPr>
      </w:pPr>
    </w:p>
    <w:p w:rsidR="00A4788F" w:rsidRPr="00A00FE1" w:rsidRDefault="00A4788F" w:rsidP="00A4788F">
      <w:pPr>
        <w:ind w:left="1200" w:right="1200"/>
        <w:jc w:val="center"/>
        <w:rPr>
          <w:bCs/>
          <w:color w:val="000000" w:themeColor="text1"/>
        </w:rPr>
      </w:pPr>
      <w:r w:rsidRPr="00A00FE1">
        <w:rPr>
          <w:bCs/>
          <w:color w:val="000000" w:themeColor="text1"/>
        </w:rPr>
        <w:lastRenderedPageBreak/>
        <w:t>John Lilya v. The Greater Gulf State Fair, Inc.</w:t>
      </w:r>
    </w:p>
    <w:p w:rsidR="00A4788F" w:rsidRPr="00A00FE1" w:rsidRDefault="00A4788F" w:rsidP="00A4788F">
      <w:pPr>
        <w:rPr>
          <w:bCs/>
          <w:color w:val="000000" w:themeColor="text1"/>
        </w:rPr>
      </w:pPr>
    </w:p>
    <w:p w:rsidR="00A4788F" w:rsidRPr="00A00FE1" w:rsidRDefault="00816162" w:rsidP="00A4788F">
      <w:pPr>
        <w:ind w:left="1200" w:right="1200"/>
        <w:jc w:val="center"/>
        <w:rPr>
          <w:bCs/>
          <w:color w:val="000000" w:themeColor="text1"/>
        </w:rPr>
      </w:pPr>
      <w:r>
        <w:rPr>
          <w:bCs/>
          <w:color w:val="000000" w:themeColor="text1"/>
        </w:rPr>
        <w:t>S</w:t>
      </w:r>
      <w:r w:rsidRPr="00A00FE1">
        <w:rPr>
          <w:bCs/>
          <w:color w:val="000000" w:themeColor="text1"/>
        </w:rPr>
        <w:t xml:space="preserve">upreme Court </w:t>
      </w:r>
      <w:r>
        <w:rPr>
          <w:bCs/>
          <w:color w:val="000000" w:themeColor="text1"/>
        </w:rPr>
        <w:t>o</w:t>
      </w:r>
      <w:r w:rsidRPr="00A00FE1">
        <w:rPr>
          <w:bCs/>
          <w:color w:val="000000" w:themeColor="text1"/>
        </w:rPr>
        <w:t>f Alabama</w:t>
      </w:r>
    </w:p>
    <w:p w:rsidR="00A4788F" w:rsidRPr="00A00FE1" w:rsidRDefault="00A4788F" w:rsidP="00A4788F">
      <w:pPr>
        <w:rPr>
          <w:bCs/>
          <w:color w:val="000000" w:themeColor="text1"/>
        </w:rPr>
      </w:pPr>
    </w:p>
    <w:p w:rsidR="00A4788F" w:rsidRPr="00A00FE1" w:rsidRDefault="00A4788F" w:rsidP="00A4788F">
      <w:pPr>
        <w:ind w:left="1200" w:right="1200"/>
        <w:jc w:val="center"/>
        <w:rPr>
          <w:bCs/>
          <w:color w:val="000000" w:themeColor="text1"/>
        </w:rPr>
      </w:pPr>
      <w:r w:rsidRPr="00A00FE1">
        <w:rPr>
          <w:bCs/>
          <w:color w:val="000000" w:themeColor="text1"/>
        </w:rPr>
        <w:t>855 So. 2d 1049</w:t>
      </w:r>
    </w:p>
    <w:p w:rsidR="00A4788F" w:rsidRPr="00A00FE1" w:rsidRDefault="00A4788F" w:rsidP="00A4788F">
      <w:pPr>
        <w:rPr>
          <w:bCs/>
          <w:color w:val="000000" w:themeColor="text1"/>
        </w:rPr>
      </w:pPr>
    </w:p>
    <w:p w:rsidR="00A4788F" w:rsidRPr="00A00FE1" w:rsidRDefault="00A4788F" w:rsidP="00A4788F">
      <w:pPr>
        <w:ind w:left="1200" w:right="1200"/>
        <w:jc w:val="center"/>
        <w:rPr>
          <w:bCs/>
          <w:color w:val="000000" w:themeColor="text1"/>
        </w:rPr>
      </w:pPr>
      <w:r w:rsidRPr="00A00FE1">
        <w:rPr>
          <w:bCs/>
          <w:color w:val="000000" w:themeColor="text1"/>
        </w:rPr>
        <w:t xml:space="preserve">February 21, 2003, Released </w:t>
      </w:r>
    </w:p>
    <w:p w:rsidR="00A4788F" w:rsidRPr="00A00FE1" w:rsidRDefault="00A4788F" w:rsidP="00A4788F">
      <w:pPr>
        <w:rPr>
          <w:bCs/>
          <w:color w:val="000000" w:themeColor="text1"/>
        </w:rPr>
      </w:pPr>
    </w:p>
    <w:p w:rsidR="00A4788F" w:rsidRPr="00A00FE1" w:rsidRDefault="00A4788F" w:rsidP="00A4788F">
      <w:pPr>
        <w:rPr>
          <w:color w:val="000000" w:themeColor="text1"/>
        </w:rPr>
      </w:pPr>
    </w:p>
    <w:p w:rsidR="00A4788F" w:rsidRPr="00A00FE1" w:rsidRDefault="00A4788F" w:rsidP="00A4788F">
      <w:pPr>
        <w:rPr>
          <w:color w:val="000000" w:themeColor="text1"/>
        </w:rPr>
      </w:pPr>
      <w:r w:rsidRPr="00A00FE1">
        <w:rPr>
          <w:bCs/>
          <w:color w:val="000000" w:themeColor="text1"/>
        </w:rPr>
        <w:t xml:space="preserve">PRIOR HISTORY: </w:t>
      </w:r>
      <w:r w:rsidRPr="00A00FE1">
        <w:rPr>
          <w:color w:val="000000" w:themeColor="text1"/>
        </w:rPr>
        <w:t>A</w:t>
      </w:r>
      <w:r>
        <w:rPr>
          <w:color w:val="000000" w:themeColor="text1"/>
        </w:rPr>
        <w:t>ppeal from Mobile Circuit Court</w:t>
      </w:r>
      <w:r w:rsidRPr="00A00FE1">
        <w:rPr>
          <w:color w:val="000000" w:themeColor="text1"/>
        </w:rPr>
        <w:t xml:space="preserve">  </w:t>
      </w:r>
    </w:p>
    <w:p w:rsidR="00A4788F" w:rsidRPr="00A00FE1" w:rsidRDefault="00A4788F" w:rsidP="00A4788F">
      <w:pPr>
        <w:rPr>
          <w:color w:val="000000" w:themeColor="text1"/>
        </w:rPr>
      </w:pPr>
    </w:p>
    <w:p w:rsidR="00A4788F" w:rsidRPr="00A00FE1" w:rsidRDefault="00A4788F" w:rsidP="00A4788F">
      <w:r w:rsidRPr="00A00FE1">
        <w:rPr>
          <w:bCs/>
        </w:rPr>
        <w:t xml:space="preserve">JUDGES: </w:t>
      </w:r>
      <w:r w:rsidRPr="00A00FE1">
        <w:t xml:space="preserve">HOUSTON, Justice. Moore, C.J., and Lyons and Johnstone, JJ., concur. Woodall, J., concurs in the result.  </w:t>
      </w:r>
    </w:p>
    <w:p w:rsidR="00A4788F" w:rsidRPr="00A00FE1" w:rsidRDefault="00A4788F" w:rsidP="00A4788F"/>
    <w:p w:rsidR="005D12B9" w:rsidRDefault="005D12B9" w:rsidP="00A4788F">
      <w:pPr>
        <w:rPr>
          <w:bCs/>
        </w:rPr>
      </w:pPr>
    </w:p>
    <w:p w:rsidR="00A4788F" w:rsidRDefault="00A4788F" w:rsidP="00A4788F">
      <w:r w:rsidRPr="00A00FE1">
        <w:rPr>
          <w:bCs/>
        </w:rPr>
        <w:t xml:space="preserve">OPINION BY: </w:t>
      </w:r>
      <w:r w:rsidRPr="00A00FE1">
        <w:t>HOUSTON</w:t>
      </w:r>
      <w:r>
        <w:t xml:space="preserve">, </w:t>
      </w:r>
      <w:r w:rsidRPr="00A00FE1">
        <w:t>J</w:t>
      </w:r>
      <w:r>
        <w:t>ustice</w:t>
      </w:r>
    </w:p>
    <w:p w:rsidR="00A4788F" w:rsidRPr="00A00FE1" w:rsidRDefault="00A4788F" w:rsidP="00A4788F"/>
    <w:p w:rsidR="00A4788F" w:rsidRDefault="00A4788F" w:rsidP="00A4788F">
      <w:pPr>
        <w:spacing w:before="120"/>
      </w:pPr>
      <w:r>
        <w:t xml:space="preserve">John Lilya appeals the Mobile Circuit Court's summary judgment in favor of The Greater Gulf State Fair, Inc. ("Gulf State Fair"), on Lilya's tort and contract claims stemming from his fall off of a mechanical bull operated by a lessee on the premises of Gulf State Fair. We affirm. . . . </w:t>
      </w:r>
    </w:p>
    <w:p w:rsidR="00A4788F" w:rsidRDefault="00A4788F" w:rsidP="00A4788F">
      <w:pPr>
        <w:spacing w:before="120"/>
      </w:pPr>
      <w:r>
        <w:t>When a party moving for a summary judgment makes a prima facie showing that there is no genuine issue of material fact and that the movant is entitled to a judgment as a matter of law, the burden shifts to the nonmovant to present substantial evidence creating a genuine issue of material fact. . . .  In reviewing a ruling on a motion for a summary judgment, this Court views the evidence in the light most favorable to the nonmovant and entertains such reasonable inferences as the jury would have been free to draw.</w:t>
      </w:r>
    </w:p>
    <w:p w:rsidR="00A4788F" w:rsidRDefault="00A4788F" w:rsidP="00A4788F">
      <w:pPr>
        <w:spacing w:before="120"/>
      </w:pPr>
      <w:r>
        <w:t>Viewed in the light most favorable to Lilya, the relevant facts of this case, most of which are undisputed, are as follows. While attending a fair on premises owned by Gulf State Fair in Mobile County, John Lilya came upon a mechanical bull ride owned and operated by Tracy Torres, who was doing business as "Rolling Thunder &amp; Company." As Lilya approached the ride, which was enclosed in a small corral fence and was surrounded by a crowd of people, he could see a person riding the mechanical bull. Above the mechanical bull was a large banner that read "Rolling Thunder." As a friend of Lilya's walked up to a table located on one side of the corral area to pay for a ride on the mechanical bull, Lilya noticed that the rider who had been on the mechanical bull had fallen off. After Lilya's friend paid for his ride on the bull and walked into the corral, Lilya decided that he would also try to ride the mechanical bull.</w:t>
      </w:r>
    </w:p>
    <w:p w:rsidR="00A4788F" w:rsidRDefault="00A4788F" w:rsidP="00A4788F">
      <w:pPr>
        <w:spacing w:before="120"/>
      </w:pPr>
      <w:r>
        <w:t>After Lilya approached the table and paid the $5 admission fee to Torres, who was operating the mechanical bull, Lilya noticed that his friend had fallen off the bull. Torres told Lilya that Lilya had to sign a document before he would be allowed to ride the mechanical bull. That document provided, in pertinent part:</w:t>
      </w:r>
    </w:p>
    <w:p w:rsidR="00A4788F" w:rsidRDefault="00A4788F" w:rsidP="00A4788F">
      <w:pPr>
        <w:spacing w:before="120"/>
        <w:ind w:left="720"/>
      </w:pPr>
      <w:r>
        <w:t>"</w:t>
      </w:r>
      <w:r>
        <w:rPr>
          <w:i/>
          <w:iCs/>
        </w:rPr>
        <w:t>PARTICIPANT AGREEMENT, RELEASE, AND ACKNOWLEDGMENT OF RISK</w:t>
      </w:r>
    </w:p>
    <w:p w:rsidR="00A4788F" w:rsidRDefault="00A4788F" w:rsidP="00A4788F">
      <w:pPr>
        <w:spacing w:before="120"/>
        <w:ind w:left="720"/>
      </w:pPr>
      <w:r>
        <w:t>"In consideration of the services of Rolling Thunder &amp; Company, their agents, owners, officers, volunteers, participants, employees, and all other persons or entities acting in any capacity on their behalf (hereinafter collectively referred to as 'RT&amp;C'), I hereby agree to release, indemnify, and discharge RT&amp;C, on behalf of myself, my children, my parents, my heirs, assigns, personal representative and estate as follows:</w:t>
      </w:r>
    </w:p>
    <w:p w:rsidR="00A4788F" w:rsidRDefault="00A4788F" w:rsidP="00A4788F">
      <w:pPr>
        <w:spacing w:before="120"/>
        <w:ind w:left="720"/>
      </w:pPr>
      <w:r>
        <w:t xml:space="preserve">"1. I acknowledge that riding a mechanical bull entails known and unanticipated risks which could result in physical or emotional injury, paralysis, death, or damage to myself, to property, or to third parties. I understand that such risks simply cannot be eliminated without jeopardizing the essential qualities of the activity. </w:t>
      </w:r>
    </w:p>
    <w:p w:rsidR="00A4788F" w:rsidRDefault="00A4788F" w:rsidP="00A4788F">
      <w:pPr>
        <w:spacing w:before="120"/>
        <w:ind w:left="720"/>
      </w:pPr>
      <w:r>
        <w:t>"</w:t>
      </w:r>
      <w:r>
        <w:rPr>
          <w:i/>
          <w:iCs/>
        </w:rPr>
        <w:t>The risks include, among other things:</w:t>
      </w:r>
      <w:r>
        <w:t xml:space="preserve"> falling off or being thrown from the bull which could result in musculoskeletal injuries including head, neck, and back injuries.</w:t>
      </w:r>
    </w:p>
    <w:p w:rsidR="00A4788F" w:rsidRDefault="00A4788F" w:rsidP="00A4788F">
      <w:pPr>
        <w:spacing w:before="120"/>
        <w:ind w:left="720"/>
      </w:pPr>
      <w:r>
        <w:t>"2. I expressly agree and promise to accept and assume all of the risks existing in this activity. My participation in this activity is purely voluntary, and I elect to participate in spite of the risks.</w:t>
      </w:r>
    </w:p>
    <w:p w:rsidR="00A4788F" w:rsidRDefault="00A4788F" w:rsidP="00A4788F">
      <w:pPr>
        <w:spacing w:before="120"/>
        <w:ind w:left="720"/>
      </w:pPr>
      <w:r>
        <w:t xml:space="preserve">"3. I hereby voluntarily release, forever discharge, and agree to indemnify and hold harmless RT&amp;C from any and all claims, demands, or causes of action, which are in any way connected with my participation in this </w:t>
      </w:r>
      <w:r>
        <w:lastRenderedPageBreak/>
        <w:t xml:space="preserve">activity or my use of RT&amp;C's equipment or facilities, </w:t>
      </w:r>
      <w:r>
        <w:rPr>
          <w:i/>
          <w:iCs/>
        </w:rPr>
        <w:t>including any such claims which allege negligent acts or omissions of RT&amp;C.</w:t>
      </w:r>
      <w:r>
        <w:t xml:space="preserve"> </w:t>
      </w:r>
    </w:p>
    <w:p w:rsidR="00A4788F" w:rsidRDefault="00A4788F" w:rsidP="00A4788F">
      <w:pPr>
        <w:spacing w:before="120"/>
        <w:ind w:left="720"/>
      </w:pPr>
      <w:r>
        <w:t xml:space="preserve">"4. Should RT&amp;C, or anyone acting on [its] behalf, be required to incur attorney's fees and costs to enforce this agreement, I agree to indemnify and hold them harmless for all such fees and costs. </w:t>
      </w:r>
    </w:p>
    <w:p w:rsidR="00A4788F" w:rsidRDefault="00A4788F" w:rsidP="00A4788F">
      <w:pPr>
        <w:spacing w:before="120"/>
        <w:ind w:left="720"/>
      </w:pPr>
      <w:r>
        <w:t xml:space="preserve">"5. I certify that I have adequate insurance to cover any injury or damage I may cause or suffer while participating, or else I agree to bear the costs of such injury or damage myself. I further certify that I have no medical or physical conditions which could interfere with my safety in this activity, or else I am willing to assume — and bear the costs of — all risks that may be created, directly or indirectly, by any such condition. </w:t>
      </w:r>
    </w:p>
    <w:p w:rsidR="00A4788F" w:rsidRDefault="00A4788F" w:rsidP="00A4788F">
      <w:pPr>
        <w:spacing w:before="120"/>
        <w:ind w:left="720"/>
      </w:pPr>
      <w:r>
        <w:t xml:space="preserve">"6. In the event that I file a lawsuit against RT&amp;C, I agree to do so solely in the state of Texas, and I further agree that the substantive law of that state shall apply in that action without regard to the conflict of law rules of that state. I agree that if any portion of this agreement is found to be void or unenforceable, the remaining portions shall remain in full force and effect. </w:t>
      </w:r>
    </w:p>
    <w:p w:rsidR="00A4788F" w:rsidRDefault="00A4788F" w:rsidP="00A4788F">
      <w:pPr>
        <w:spacing w:before="120"/>
        <w:ind w:left="720"/>
      </w:pPr>
      <w:r>
        <w:t>"</w:t>
      </w:r>
      <w:r>
        <w:rPr>
          <w:i/>
          <w:iCs/>
        </w:rPr>
        <w:t>By signing this document, I acknowledge that if anyone is hurt or property is damaged during my participation in this activity, I may be found by a court of law to have waived my right to maintain a lawsuit against RT&amp;C on the basis of any claim from which I have released them herein.</w:t>
      </w:r>
    </w:p>
    <w:p w:rsidR="00A4788F" w:rsidRDefault="00A4788F" w:rsidP="00A4788F">
      <w:pPr>
        <w:spacing w:before="120"/>
        <w:ind w:left="720"/>
      </w:pPr>
      <w:r>
        <w:t xml:space="preserve">"I have had sufficient opportunity to read this entire document. I have read and understood it, and I agree to be bound by its terms. </w:t>
      </w:r>
    </w:p>
    <w:p w:rsidR="00A4788F" w:rsidRDefault="00A4788F" w:rsidP="00A4788F">
      <w:pPr>
        <w:spacing w:before="120"/>
        <w:ind w:left="720"/>
      </w:pPr>
      <w:r>
        <w:t>"Signature of Participant:</w:t>
      </w:r>
      <w:r>
        <w:rPr>
          <w:i/>
          <w:iCs/>
        </w:rPr>
        <w:t>/s/John Lilya</w:t>
      </w:r>
      <w:r>
        <w:t xml:space="preserve"> Print Name: </w:t>
      </w:r>
      <w:r>
        <w:rPr>
          <w:i/>
          <w:iCs/>
        </w:rPr>
        <w:t>John Lilya</w:t>
      </w:r>
    </w:p>
    <w:p w:rsidR="00A4788F" w:rsidRDefault="00A4788F" w:rsidP="00A4788F">
      <w:pPr>
        <w:spacing w:before="120"/>
        <w:ind w:left="720"/>
      </w:pPr>
      <w:r>
        <w:t>"Address:</w:t>
      </w:r>
      <w:r>
        <w:rPr>
          <w:i/>
          <w:iCs/>
        </w:rPr>
        <w:t xml:space="preserve"> Mobile, AL</w:t>
      </w:r>
      <w:r>
        <w:t xml:space="preserve"> "Phone: Date: "</w:t>
      </w:r>
    </w:p>
    <w:p w:rsidR="00A4788F" w:rsidRDefault="00A4788F" w:rsidP="00A4788F">
      <w:pPr>
        <w:spacing w:before="120"/>
      </w:pPr>
      <w:r>
        <w:t>After signing the document, Lilya stepped into the corral area, the floor of which was covered with a mat approximately 12 to 18 inches thick, which Lilya described as "soft and forgiving." Lilya's impression of the mat was that if he fell  from the bull the mat would protect him from injury.</w:t>
      </w:r>
    </w:p>
    <w:p w:rsidR="00A4788F" w:rsidRDefault="00A4788F" w:rsidP="00A4788F">
      <w:pPr>
        <w:spacing w:before="120"/>
      </w:pPr>
      <w:r>
        <w:t>With Torres's help, Lilya got up on the mechanical bull and began to ride. However, after just a few seconds, and while the bull was still moving slowly, Lilya fell off. Torres then instructed Lilya on how to ride the bull and helped Lilya back onto the bull. The bull ride began again, and it became progressively faster, spinning and bucking to the left and to the right, until Lilya again fell off of the bull. Lilya claims that it was this second fall that caused his injury; he landed on his head and shoulders and suffered a fractured neck.</w:t>
      </w:r>
    </w:p>
    <w:p w:rsidR="00A4788F" w:rsidRDefault="00A4788F" w:rsidP="00A4788F">
      <w:pPr>
        <w:spacing w:before="120"/>
      </w:pPr>
      <w:r>
        <w:t>Lilya brought this action against, among others, Gulf State Fair, asserting 1) that Gulf State Fair negligently and/or wantonly operated its place of entertainment in that it breached its duty to keep and maintain the fairgrounds in a reasonably safe condition, and 2) that Gulf State Fair breached an implied-in-fact contract with Lilya to provide reasonably safe exhibits for Lilya's entertainment. Gulf State Fair filed a motion for a summary judgment, which the trial court granted. Following certification of the summary judgment as a final judgment, Lilya filed this appeal.</w:t>
      </w:r>
    </w:p>
    <w:p w:rsidR="00A4788F" w:rsidRDefault="00A4788F" w:rsidP="00A4788F">
      <w:pPr>
        <w:spacing w:before="120"/>
      </w:pPr>
    </w:p>
    <w:p w:rsidR="00A4788F" w:rsidRDefault="00A4788F" w:rsidP="00A4788F">
      <w:pPr>
        <w:spacing w:before="120"/>
      </w:pPr>
      <w:r>
        <w:rPr>
          <w:i/>
          <w:iCs/>
        </w:rPr>
        <w:t>I. Negligence/Wantonness</w:t>
      </w:r>
    </w:p>
    <w:p w:rsidR="00A4788F" w:rsidRDefault="00A4788F" w:rsidP="00A4788F">
      <w:pPr>
        <w:spacing w:before="120"/>
      </w:pPr>
      <w:r>
        <w:t>The parties dispute the nature of the claim involved and, accordingly, whether the duty owed to Lilya by Gulf State Fair should be extracted from general principles of negligence or of premises liability. The key to this question is whether the injury was caused by some affirmative conduct of the landowner or by a condition of the premises. . . .</w:t>
      </w:r>
    </w:p>
    <w:p w:rsidR="00A4788F" w:rsidRDefault="00A4788F" w:rsidP="00A4788F">
      <w:pPr>
        <w:spacing w:before="120"/>
      </w:pPr>
      <w:r>
        <w:t>Historically, landowners have enjoyed isolation from traditional negligence standards relative to their ownership or possession of land. Instead, graduated classes, each to whom a separate duty was owed, based upon their relationship to the landowner, became determinative of the landowner's liability....</w:t>
      </w:r>
    </w:p>
    <w:p w:rsidR="00A4788F" w:rsidRDefault="00A4788F" w:rsidP="00A4788F">
      <w:pPr>
        <w:spacing w:before="120"/>
      </w:pPr>
      <w:r>
        <w:t>This special classification privilege is not generally regarded as applicable, however, when it is the affirmative conduct of the landowner, rather than the condition of his premises, that causes the injury. In this context, the justifications for determining liability based upon the classification of the injured party ... do not attach. Where the injury is caused by some distinct act of the landowner, rather than by the mere condition of the premises, a different standard for determining liability may arise.</w:t>
      </w:r>
    </w:p>
    <w:p w:rsidR="00A4788F" w:rsidRDefault="00A4788F" w:rsidP="00A4788F">
      <w:pPr>
        <w:spacing w:before="120"/>
      </w:pPr>
      <w:r>
        <w:lastRenderedPageBreak/>
        <w:t>A landowner, if he undertakes any affirmative conduct creating a danger to an unwitting licensee, independent and distinct from the condition of the premises, must give reasonable notice or warning of the danger or exercise reasonable or ordinary care to safeguard against the danger.</w:t>
      </w:r>
    </w:p>
    <w:p w:rsidR="00A4788F" w:rsidRDefault="00A4788F" w:rsidP="00A4788F">
      <w:pPr>
        <w:spacing w:before="120"/>
      </w:pPr>
      <w:r>
        <w:t xml:space="preserve">It is clear here that, if anything, it was the allegedly dangerous condition created by the inherent risks of the mechanical bull ride itself — not Gulf State Fair's conduct in allowing Torres to lease space and to operate the mechanical bull ride — that directly caused Lilya's injury. Therefore, any tort claim Lilya would maintain against Gulf State Fair would be governed by premises-liability principles and would be evaluated in light of the duty owed by a landowner to an invitee.   </w:t>
      </w:r>
    </w:p>
    <w:p w:rsidR="00A4788F" w:rsidRDefault="00A4788F" w:rsidP="00A4788F">
      <w:pPr>
        <w:spacing w:before="120"/>
      </w:pPr>
      <w:r>
        <w:t>. . . As the landowner, Gulf State Fair would owe Lilya, its invitee, the duty to use reasonable care:</w:t>
      </w:r>
    </w:p>
    <w:p w:rsidR="00A4788F" w:rsidRDefault="00A4788F" w:rsidP="00A4788F">
      <w:pPr>
        <w:spacing w:before="120"/>
      </w:pPr>
      <w:r>
        <w:t xml:space="preserve">"The duty owed to [an invitee] by the [premises owner] is the exercise of ordinary and reasonable care to keep the premises in a reasonably safe condition.” </w:t>
      </w:r>
      <w:r>
        <w:rPr>
          <w:i/>
          <w:iCs/>
        </w:rPr>
        <w:t>Winn-Dixie v. Godwin</w:t>
      </w:r>
      <w:r>
        <w:t>, 349 So. 2d 37 (Ala. 1977). The owner of a premises in such cases is not an insurer of the safety of his invitees, and the principle of res ipsa loquitur is not applicable. There is no presumption of negligence which arises from the mere fact of an injury to an invitee. Furthermore, the owner of premises has no duty to warn an invitee of open and obvious defects in the premises which the invitee is aware of or should be aware of in the exercise of reasonable care.</w:t>
      </w:r>
    </w:p>
    <w:p w:rsidR="00A4788F" w:rsidRDefault="00A4788F" w:rsidP="00A4788F">
      <w:r>
        <w:t xml:space="preserve"> </w:t>
      </w:r>
    </w:p>
    <w:p w:rsidR="00A4788F" w:rsidRDefault="00A4788F" w:rsidP="00A4788F">
      <w:r>
        <w:t xml:space="preserve">If there is a dangerous condition on the premises that is not "open and obvious," the premises owner has a duty "to give sufficient warning so that, by the use of ordinary care, the danger can be avoided." </w:t>
      </w:r>
      <w:r>
        <w:rPr>
          <w:i/>
          <w:iCs/>
        </w:rPr>
        <w:t>Armstrong v. Georgia Marble Co.</w:t>
      </w:r>
      <w:r>
        <w:t>, 575 So. 2d 1051, 1053 (Ala. 1991).</w:t>
      </w:r>
    </w:p>
    <w:p w:rsidR="00A4788F" w:rsidRDefault="00A4788F" w:rsidP="00A4788F">
      <w:pPr>
        <w:spacing w:before="120"/>
      </w:pPr>
      <w:r>
        <w:t xml:space="preserve">Here, the only evidence of danger stemming from the mechanical bull ride is the most open and obvious characteristic of the ride: the possibility of falling off the mechanical bull. Lilya was aware that the two riders who had ridden the mechanical bull immediately before he rode it had fallen off. He noticed the thick floor mat, and he knew that the mat was there to protect riders when they fell. Also, he signed a release that explicitly stated, among other things, 1) that riding the mechanical bull involved inherent risks, 2) that injury was a possibility, 3) that the risks included "falling off or being thrown from the bull which could result in musculoskeletal injuries including head, neck, and back injuries," and 4) that Lilya understood the risks and rode voluntarily. </w:t>
      </w:r>
    </w:p>
    <w:p w:rsidR="00A4788F" w:rsidRDefault="00A4788F" w:rsidP="00A4788F">
      <w:pPr>
        <w:spacing w:before="120"/>
      </w:pPr>
      <w:r>
        <w:t xml:space="preserve">Additionally, the very name of the ride — "Rolling Thunder" — hanging on a banner above the ride, gives a somewhat graphic indication of what is the very nature of bull riding: an extremely turbulent ride the challenge of which is to </w:t>
      </w:r>
      <w:r>
        <w:rPr>
          <w:i/>
          <w:iCs/>
        </w:rPr>
        <w:t>hang on and not fall off</w:t>
      </w:r>
      <w:r>
        <w:t>. The entertainment value — and, indeed, the concept — of bull riding becomes meaningless without the inherent possibility of falling off.</w:t>
      </w:r>
    </w:p>
    <w:p w:rsidR="00A4788F" w:rsidRDefault="00A4788F" w:rsidP="00A4788F">
      <w:pPr>
        <w:spacing w:before="120"/>
      </w:pPr>
      <w:r>
        <w:t>"Volenti non fit injuria.</w:t>
      </w:r>
      <w:r>
        <w:rPr>
          <w:sz w:val="16"/>
          <w:szCs w:val="16"/>
          <w:vertAlign w:val="superscript"/>
        </w:rPr>
        <w:t>2</w:t>
      </w:r>
      <w:r>
        <w:t xml:space="preserve"> One who takes part in such a sport accepts the dangers that inhere in it so far as they are obvious and necessary, just as a fencer accepts the risk of a thrust by his antagonist or a spectator at a ball game the chance of contact with the ball."</w:t>
      </w:r>
    </w:p>
    <w:p w:rsidR="00A4788F" w:rsidRDefault="00A4788F" w:rsidP="00A4788F"/>
    <w:p w:rsidR="00A4788F" w:rsidRPr="00193364" w:rsidRDefault="00A4788F" w:rsidP="00A4788F">
      <w:pPr>
        <w:ind w:left="600"/>
        <w:rPr>
          <w:sz w:val="16"/>
          <w:szCs w:val="16"/>
        </w:rPr>
      </w:pPr>
      <w:r>
        <w:rPr>
          <w:sz w:val="16"/>
          <w:szCs w:val="16"/>
          <w:vertAlign w:val="superscript"/>
        </w:rPr>
        <w:t>2</w:t>
      </w:r>
      <w:r>
        <w:rPr>
          <w:sz w:val="16"/>
          <w:szCs w:val="16"/>
        </w:rPr>
        <w:t xml:space="preserve"> The maxim "volenti non fit injuria" means that "a person who knowingly and voluntarily risks danger cannot recover for any resulting injury." </w:t>
      </w:r>
      <w:r>
        <w:rPr>
          <w:i/>
          <w:iCs/>
          <w:sz w:val="16"/>
          <w:szCs w:val="16"/>
        </w:rPr>
        <w:t>Black's Law Dictionary</w:t>
      </w:r>
      <w:r>
        <w:rPr>
          <w:sz w:val="16"/>
          <w:szCs w:val="16"/>
        </w:rPr>
        <w:t xml:space="preserve"> 1569 (7th ed. 1999). </w:t>
      </w:r>
    </w:p>
    <w:p w:rsidR="00A4788F" w:rsidRDefault="00A4788F" w:rsidP="00A4788F">
      <w:pPr>
        <w:spacing w:before="120"/>
      </w:pPr>
      <w:r>
        <w:t>We hold that the possibility of falling off the mechanical bull and, accordingly, the possibility of being injured as a result of falling off the mechanical bull were open and obvious dangers. Therefore, Gulf State Fair owed no duty to warn Lilya of the possible harm involved in riding the mechanical bull. Without the existence of a duty, Lilya's negligence and wantonness claims fail as a matter of law, and the trial court's summary judgment as to those claims was appropriate.</w:t>
      </w:r>
    </w:p>
    <w:p w:rsidR="00A4788F" w:rsidRDefault="00A4788F" w:rsidP="00A4788F"/>
    <w:p w:rsidR="00A4788F" w:rsidRDefault="00A4788F" w:rsidP="00A4788F">
      <w:r>
        <w:rPr>
          <w:b/>
          <w:bCs/>
          <w:i/>
          <w:iCs/>
        </w:rPr>
        <w:t>II. Implied Contract</w:t>
      </w:r>
    </w:p>
    <w:p w:rsidR="005D12B9" w:rsidRDefault="005D12B9" w:rsidP="005D12B9">
      <w:pPr>
        <w:spacing w:before="120"/>
      </w:pPr>
      <w:r>
        <w:t xml:space="preserve">[deleted] </w:t>
      </w:r>
    </w:p>
    <w:p w:rsidR="005D12B9" w:rsidRDefault="005D12B9" w:rsidP="00A4788F">
      <w:pPr>
        <w:spacing w:before="120"/>
      </w:pPr>
    </w:p>
    <w:p w:rsidR="00A4788F" w:rsidRDefault="00A4788F" w:rsidP="00A4788F">
      <w:pPr>
        <w:spacing w:before="120"/>
      </w:pPr>
      <w:r>
        <w:t xml:space="preserve">AFFIRMED. </w:t>
      </w:r>
    </w:p>
    <w:p w:rsidR="00A4788F" w:rsidRDefault="00A4788F" w:rsidP="00A4788F">
      <w:pPr>
        <w:spacing w:before="120"/>
      </w:pPr>
      <w:r>
        <w:t xml:space="preserve">Moore, C.J., and Lyons and Johnstone, JJ., concur. </w:t>
      </w:r>
    </w:p>
    <w:p w:rsidR="00A4788F" w:rsidRDefault="00A4788F" w:rsidP="00A4788F">
      <w:pPr>
        <w:spacing w:before="120"/>
        <w:sectPr w:rsidR="00A4788F">
          <w:headerReference w:type="default" r:id="rId14"/>
          <w:type w:val="continuous"/>
          <w:pgSz w:w="12240" w:h="15840"/>
          <w:pgMar w:top="1728" w:right="1296" w:bottom="1296" w:left="1296" w:header="720" w:footer="720" w:gutter="0"/>
          <w:cols w:space="720"/>
          <w:noEndnote/>
        </w:sectPr>
      </w:pPr>
      <w:r>
        <w:t xml:space="preserve">Woodall, J., concurs in the result.  </w:t>
      </w:r>
    </w:p>
    <w:p w:rsidR="00032A5B" w:rsidRDefault="00032A5B" w:rsidP="00032A5B">
      <w:pPr>
        <w:pStyle w:val="Heading7"/>
        <w:numPr>
          <w:ilvl w:val="0"/>
          <w:numId w:val="0"/>
        </w:numPr>
        <w:jc w:val="left"/>
        <w:rPr>
          <w:sz w:val="24"/>
          <w:szCs w:val="24"/>
        </w:rPr>
      </w:pPr>
      <w:r>
        <w:rPr>
          <w:sz w:val="24"/>
          <w:szCs w:val="24"/>
        </w:rPr>
        <w:lastRenderedPageBreak/>
        <w:t>IV.   P</w:t>
      </w:r>
      <w:r w:rsidRPr="009D7634">
        <w:rPr>
          <w:sz w:val="24"/>
          <w:szCs w:val="24"/>
        </w:rPr>
        <w:t>roduct Liability</w:t>
      </w:r>
    </w:p>
    <w:p w:rsidR="00032A5B" w:rsidRDefault="00032A5B" w:rsidP="00032A5B">
      <w:pPr>
        <w:rPr>
          <w:sz w:val="24"/>
          <w:szCs w:val="24"/>
        </w:rPr>
      </w:pPr>
      <w:r>
        <w:rPr>
          <w:sz w:val="24"/>
          <w:szCs w:val="24"/>
        </w:rPr>
        <w:br w:type="page"/>
      </w:r>
    </w:p>
    <w:p w:rsidR="00032A5B" w:rsidRDefault="00032A5B" w:rsidP="00032A5B">
      <w:pPr>
        <w:ind w:left="1200" w:right="1200"/>
        <w:jc w:val="center"/>
        <w:rPr>
          <w:bCs/>
          <w:color w:val="000000" w:themeColor="text1"/>
        </w:rPr>
      </w:pPr>
      <w:r w:rsidRPr="003033BD">
        <w:rPr>
          <w:bCs/>
          <w:color w:val="000000" w:themeColor="text1"/>
        </w:rPr>
        <w:lastRenderedPageBreak/>
        <w:t xml:space="preserve">SHOSHONE COCA-COLA BOTTLING COMPANY, a Corporation, </w:t>
      </w:r>
      <w:r>
        <w:rPr>
          <w:bCs/>
          <w:color w:val="000000" w:themeColor="text1"/>
        </w:rPr>
        <w:t>Appellant,</w:t>
      </w:r>
    </w:p>
    <w:p w:rsidR="00032A5B" w:rsidRPr="003033BD" w:rsidRDefault="00032A5B" w:rsidP="00032A5B">
      <w:pPr>
        <w:ind w:left="1200" w:right="1200"/>
        <w:jc w:val="center"/>
        <w:rPr>
          <w:bCs/>
          <w:color w:val="000000" w:themeColor="text1"/>
        </w:rPr>
      </w:pPr>
      <w:r>
        <w:rPr>
          <w:bCs/>
          <w:color w:val="000000" w:themeColor="text1"/>
        </w:rPr>
        <w:t xml:space="preserve">v. LEO </w:t>
      </w:r>
      <w:r w:rsidRPr="003033BD">
        <w:rPr>
          <w:bCs/>
          <w:color w:val="000000" w:themeColor="text1"/>
        </w:rPr>
        <w:t>L. DOLINSKI, Respondent</w:t>
      </w:r>
    </w:p>
    <w:p w:rsidR="00032A5B" w:rsidRPr="003033BD" w:rsidRDefault="00032A5B" w:rsidP="00032A5B">
      <w:pPr>
        <w:rPr>
          <w:bCs/>
          <w:color w:val="000000" w:themeColor="text1"/>
        </w:rPr>
      </w:pPr>
    </w:p>
    <w:p w:rsidR="00032A5B" w:rsidRPr="003033BD" w:rsidRDefault="00032A5B" w:rsidP="00032A5B">
      <w:pPr>
        <w:ind w:left="1200" w:right="1200"/>
        <w:jc w:val="center"/>
        <w:rPr>
          <w:bCs/>
          <w:color w:val="000000" w:themeColor="text1"/>
        </w:rPr>
      </w:pPr>
      <w:r w:rsidRPr="003033BD">
        <w:rPr>
          <w:bCs/>
          <w:color w:val="000000" w:themeColor="text1"/>
        </w:rPr>
        <w:t>Supreme Court of Nevada</w:t>
      </w:r>
    </w:p>
    <w:p w:rsidR="00032A5B" w:rsidRPr="003033BD" w:rsidRDefault="00032A5B" w:rsidP="00032A5B">
      <w:pPr>
        <w:rPr>
          <w:bCs/>
          <w:color w:val="000000" w:themeColor="text1"/>
        </w:rPr>
      </w:pPr>
    </w:p>
    <w:p w:rsidR="00032A5B" w:rsidRPr="003033BD" w:rsidRDefault="00032A5B" w:rsidP="00032A5B">
      <w:pPr>
        <w:ind w:left="1200" w:right="1200"/>
        <w:jc w:val="center"/>
        <w:rPr>
          <w:bCs/>
          <w:color w:val="000000" w:themeColor="text1"/>
        </w:rPr>
      </w:pPr>
      <w:r w:rsidRPr="003033BD">
        <w:rPr>
          <w:bCs/>
          <w:color w:val="000000" w:themeColor="text1"/>
        </w:rPr>
        <w:t>82 Nev. 439; 420 P.2d 855</w:t>
      </w:r>
    </w:p>
    <w:p w:rsidR="00032A5B" w:rsidRPr="003033BD" w:rsidRDefault="00032A5B" w:rsidP="00032A5B">
      <w:pPr>
        <w:rPr>
          <w:bCs/>
          <w:color w:val="000000" w:themeColor="text1"/>
        </w:rPr>
      </w:pPr>
    </w:p>
    <w:p w:rsidR="00032A5B" w:rsidRPr="003033BD" w:rsidRDefault="00032A5B" w:rsidP="00032A5B">
      <w:pPr>
        <w:ind w:left="1200" w:right="1200"/>
        <w:jc w:val="center"/>
        <w:rPr>
          <w:bCs/>
          <w:color w:val="000000" w:themeColor="text1"/>
        </w:rPr>
      </w:pPr>
      <w:r>
        <w:rPr>
          <w:bCs/>
          <w:color w:val="000000" w:themeColor="text1"/>
        </w:rPr>
        <w:t>December 7, 1966</w:t>
      </w:r>
    </w:p>
    <w:p w:rsidR="00032A5B" w:rsidRPr="003033BD" w:rsidRDefault="00032A5B" w:rsidP="00032A5B">
      <w:pPr>
        <w:rPr>
          <w:bCs/>
          <w:color w:val="000000" w:themeColor="text1"/>
        </w:rPr>
      </w:pPr>
    </w:p>
    <w:p w:rsidR="00032A5B" w:rsidRPr="003033BD" w:rsidRDefault="00032A5B" w:rsidP="00032A5B">
      <w:pPr>
        <w:rPr>
          <w:color w:val="000000" w:themeColor="text1"/>
        </w:rPr>
      </w:pPr>
    </w:p>
    <w:p w:rsidR="00032A5B" w:rsidRPr="003033BD" w:rsidRDefault="00032A5B" w:rsidP="00593FED">
      <w:pPr>
        <w:rPr>
          <w:color w:val="000000" w:themeColor="text1"/>
        </w:rPr>
      </w:pPr>
      <w:r w:rsidRPr="003033BD">
        <w:rPr>
          <w:bCs/>
          <w:color w:val="000000" w:themeColor="text1"/>
        </w:rPr>
        <w:t xml:space="preserve">PRIOR HISTORY: </w:t>
      </w:r>
      <w:r w:rsidRPr="003033BD">
        <w:rPr>
          <w:color w:val="000000" w:themeColor="text1"/>
        </w:rPr>
        <w:t xml:space="preserve">Appeal from judgment of Second Judicial District Court, Washoe County; John W. Barrett, Judge.  </w:t>
      </w:r>
    </w:p>
    <w:p w:rsidR="00032A5B" w:rsidRDefault="00032A5B" w:rsidP="00593FED"/>
    <w:p w:rsidR="00032A5B" w:rsidRPr="003033BD" w:rsidRDefault="00032A5B" w:rsidP="00593FED">
      <w:r w:rsidRPr="003033BD">
        <w:rPr>
          <w:bCs/>
        </w:rPr>
        <w:t xml:space="preserve">JUDGES:   </w:t>
      </w:r>
      <w:r w:rsidRPr="003033BD">
        <w:t xml:space="preserve">Thompson, J.  Collins, J., and Zenoff, D. J., concur.  </w:t>
      </w:r>
    </w:p>
    <w:p w:rsidR="00032A5B" w:rsidRPr="003033BD" w:rsidRDefault="00032A5B" w:rsidP="00593FED"/>
    <w:p w:rsidR="00032A5B" w:rsidRPr="003033BD" w:rsidRDefault="00032A5B" w:rsidP="00593FED">
      <w:r w:rsidRPr="003033BD">
        <w:rPr>
          <w:bCs/>
        </w:rPr>
        <w:t xml:space="preserve">OPINION BY:  </w:t>
      </w:r>
      <w:r w:rsidRPr="003033BD">
        <w:t xml:space="preserve">THOMPSON </w:t>
      </w:r>
    </w:p>
    <w:p w:rsidR="00032A5B" w:rsidRDefault="00032A5B" w:rsidP="00593FED"/>
    <w:p w:rsidR="00032A5B" w:rsidRDefault="00032A5B" w:rsidP="00593FED">
      <w:pPr>
        <w:spacing w:before="120"/>
      </w:pPr>
      <w:r>
        <w:t>The important question presented by this appeal is whether Nevada should judicially adopt the doctrine of strict tort liability against a manufacturer and distributor of a bottled beverage.  Subordinate questions are also involved and will be discussed.</w:t>
      </w:r>
    </w:p>
    <w:p w:rsidR="00032A5B" w:rsidRDefault="00032A5B" w:rsidP="00593FED">
      <w:pPr>
        <w:spacing w:before="120"/>
      </w:pPr>
      <w:r>
        <w:t>1. Leo Dolinski suffered physical and mental distress when he partially consumed the contents of a bottle of "Squirt" containing a decomposed mouse. As a consequence he filed this action for damages against Shoshone Coca-Cola Bottling Company, the manufacturer and distributor of "Squirt." His complaint alleged alternative theories of liability; breach of the implied warranties of quality (which theory this court has rejected, in the absence of privity of contract); negligence; and strict tort liability. The breach of warranty and negligence claims were subsequently abandoned, and the case was presented to the jury solely upon the doctrine of strict tort liability. The jury favored Dolinski with its verdict and fixed his damages at $ 2,500.  This appeal by Shoshone ensued.</w:t>
      </w:r>
    </w:p>
    <w:p w:rsidR="00032A5B" w:rsidRDefault="00032A5B" w:rsidP="00593FED">
      <w:pPr>
        <w:spacing w:before="120"/>
      </w:pPr>
      <w:r>
        <w:t>We affirm the verdict and judgment since, in our view, public policy demands that one who places upon the market a bottled beverage in a condition dangerous for use must be held strictly liable to the ultimate user for injuries resulting from such use, although the seller has exercised all reasonable care, and the user has not entered into a contractual relation with him.  Perhaps the supporting policy reasons are best expressed by William L. Prosser in his article, "The Fall of the Citadel," 50 Minn.L.Rev. 791, 799 (1966): "The public interest in human safety requires the maximum possible protection for the user of the product, and those best able to afford it are the suppliers of the chattel. By placing their goods upon the market, the suppliers represent to the public that they are suitable and safe for use; and by packaging, advertising, and otherwise, they do everything they can to induce that belief. The middleman is no more than a conduit, a mere mechanical device, through which the thing is to reach the ultimate user. The supplier has invited and solicited the use; and when it leads to disaster, he should not be permitted to avoid the responsibility by saying that he made no contract with the consumer, or that he used all reasonable care."</w:t>
      </w:r>
    </w:p>
    <w:p w:rsidR="00032A5B" w:rsidRDefault="00032A5B" w:rsidP="00593FED">
      <w:pPr>
        <w:spacing w:before="120"/>
      </w:pPr>
      <w:r>
        <w:t xml:space="preserve">In </w:t>
      </w:r>
      <w:r w:rsidRPr="00E50149">
        <w:rPr>
          <w:i/>
        </w:rPr>
        <w:t>Escola v. Coca Cola Bottling Co</w:t>
      </w:r>
      <w:r>
        <w:t xml:space="preserve">., 24 Cal.2d 453 (1944), Justice Traynor, in a concurring opinion, wrote: "Even if there is no negligence, public policy demands that responsibility be fixed wherever it will most effectively reduce the hazards to life and health inherent in defective products that reach the market." That point of view ultimately became the philosophy of the full court in </w:t>
      </w:r>
      <w:r w:rsidRPr="00E50149">
        <w:rPr>
          <w:i/>
        </w:rPr>
        <w:t>Greenman v. Yuba River Products, Inc.</w:t>
      </w:r>
      <w:r>
        <w:t>, 27 Cal.Rptr. 697, 377 P.2d 897 (1962). There justice Traynor wrote: "The purpose of such liability is to insure that the cost of injuries resulting from defective products are borne by the manufacturer that put such products on the market rather than by the injured persons who are powerless to protect themselves."</w:t>
      </w:r>
    </w:p>
    <w:p w:rsidR="00032A5B" w:rsidRDefault="00032A5B" w:rsidP="00593FED">
      <w:pPr>
        <w:spacing w:before="120"/>
      </w:pPr>
      <w:r>
        <w:t>We believe that the quoted expressions of policy are sound as applied to the manufacturer and distributor of a bottled beverage. Indeed, eighteen states have judicially accepted strict liability, without negligence and without privity, as to manufacturers of all types of products; and six more have done so by statute. Though the appellant suggests that only the legislature may declare the policy of Nevada on this subject, the weight of case authority is contra.  As indicated, most states approving the doctrine of strict liability have done so by court declaration.</w:t>
      </w:r>
    </w:p>
    <w:p w:rsidR="00032A5B" w:rsidRDefault="00032A5B" w:rsidP="00593FED">
      <w:pPr>
        <w:spacing w:before="120"/>
      </w:pPr>
      <w:r>
        <w:t>2. Our acceptance of strict tort liability against the manufacturer and distributor of a bottled beverage does not mean that the plaintiff is relieved of the burden of proving a case.  He must still establish that his injury was caused by a defect in the product, and that such defect existed when the product left the hands of the defendant.  The concept of strict liability does not prove causation, nor does it trace cause to the defendant.</w:t>
      </w:r>
    </w:p>
    <w:p w:rsidR="00032A5B" w:rsidRDefault="00032A5B" w:rsidP="00593FED">
      <w:pPr>
        <w:spacing w:before="120"/>
      </w:pPr>
      <w:r>
        <w:lastRenderedPageBreak/>
        <w:t>In the case at hand Shoshone contends that insufficient proof was offered to establish that the mouse was in the bottle of "Squirt" when it left Shoshone's possession.  On this point the evidence was in conflict and the jury was free to choose.  The Vice-President and General Manager of Shoshone testified, in substance, that had the mouse been in the bottle while at his plant, it would have been denuded because of the caustic solution used and extreme heat employed in the bottle washing and brushing process.  As the mouse had hair when examined following the plaintiff's encounter, the Manager surmises that the rodent must have gotten into the bottle after leaving the defendant's possession.  On the other hand, the plaintiff offered the expert testimony of a toxicologist who examined the bottle and contents on the day the plaintiff drank from it.  It was his opinion that the mouse "had been dead for a long time" and that the dark stains (mouse feces) which he found on the bottom of the bottle must have been there before the liquid was added.  The jury apparently preferred the latter evidence which traced cause to the defendant.</w:t>
      </w:r>
    </w:p>
    <w:p w:rsidR="00032A5B" w:rsidRDefault="00032A5B" w:rsidP="00593FED">
      <w:pPr>
        <w:spacing w:before="120"/>
      </w:pPr>
      <w:r>
        <w:t>We turn to the question of tampering. Shoshone insists that a burden is cast upon the plaintiff to prove that there was no reasonable opportunity for someone to tamper with the bottle after it left Shoshone's control. . .  We cannot agree with that suggestion.</w:t>
      </w:r>
    </w:p>
    <w:p w:rsidR="00032A5B" w:rsidRDefault="00032A5B" w:rsidP="00593FED">
      <w:pPr>
        <w:spacing w:before="120"/>
      </w:pPr>
      <w:r>
        <w:t>The matter of tampering is inextricably tied to the problem of tracing cause to the defendant.  This is so whether the claim for relief is based on negligence or strict liability. Whenever evidence is offered by the plaintiff tending to establish the presence of the mouse in the bottle when it left Shoshone's possession, the defense is encouraged to introduce evidence that the mouse must have gotten there after the bottle left Shoshone's control, thus interjecting the possibility that the bottle and its contents were tampered with by someone, perhaps as a practical joke or for some other reason.  In this case, as in most cases, positive proof either way is not available.  Inferences must be drawn from the best available evidence produced by each side. We have already alluded to that evidence.</w:t>
      </w:r>
    </w:p>
    <w:p w:rsidR="00032A5B" w:rsidRDefault="00032A5B" w:rsidP="00593FED">
      <w:pPr>
        <w:spacing w:before="120"/>
      </w:pPr>
      <w:r>
        <w:t>It is apparent that the moment plaintiff produces evidence tending to show that the mouse was in the bottle while in the defendant's control, he has, to some degree, negated tampering by others.  The converse is likewise true.  A fortiori, once it is decided that enough evidence is present to trace cause to the defendant, that same evidence is sufficient to allow the jury to find an absence of tampering. For this reason, any notion that there is a burden of proof as to tampering, simply does not make sense. The sole burden is upon the plaintiff to prove that his injury was caused by a defect in the product and that such defect existed when the product left the hands of the defendant. The defendant, of course, may offer evidence suggesting tampering under a general denial of liability. Therefore, we expressly disapprove any contrary implication.</w:t>
      </w:r>
    </w:p>
    <w:p w:rsidR="00032A5B" w:rsidRDefault="00032A5B" w:rsidP="00593FED">
      <w:pPr>
        <w:spacing w:before="120"/>
      </w:pPr>
      <w:r>
        <w:t xml:space="preserve">The Supreme Court of Oregon is in accord. In </w:t>
      </w:r>
      <w:r w:rsidRPr="00FB4FE5">
        <w:rPr>
          <w:i/>
        </w:rPr>
        <w:t>Keller v. Coca Cola Bottling Co</w:t>
      </w:r>
      <w:r>
        <w:t>., 214 Ore. 654 (1958), the court wrote: "We hold, therefore, that there was a reasonable inference for the jury's consideration that the cigar stub entered or remained in the bottle while in the exclusive control of the defendant.  It was not incumbent upon the plaintiff to prove that tampering did not exist. Having established the delivery to be in the normal course of processing and dispensing, plaintiff was not required to negative the doubtful possibility of unwarranted or unlawful acts by other persons."</w:t>
      </w:r>
    </w:p>
    <w:p w:rsidR="00032A5B" w:rsidRDefault="00032A5B" w:rsidP="00593FED">
      <w:pPr>
        <w:spacing w:before="120"/>
      </w:pPr>
      <w:r>
        <w:t>3. Shoshone next complains that there was not enough evidence to identify it as the manufacturer and distributor of the bottle in question. The record shows that Shoshone manufactured, bottled, and sold "Squirt"; that it furnished one of its vending machines to the Sea and Ski plant where the plaintiff was employed; and that it delivered beverages, including "Squirt," to the Sea and Ski plant to be placed in the machine. Almost immediately after the plaintiff drank from the bottle and became ill, an employee of Sea and Ski telephoned Shoshone and reported the incident, whereupon a Shoshone salesman came to the Sea and Ski plant to investigate.  On this evidence it was permissible for the jury to conclude that Shoshone was the manufacturer and distributor of the bottle in question.  If the cases relied upon by Shoshone, may be read to intimate otherwise, we decline to follow them.</w:t>
      </w:r>
    </w:p>
    <w:p w:rsidR="00032A5B" w:rsidRDefault="00032A5B" w:rsidP="00593FED">
      <w:pPr>
        <w:spacing w:before="120"/>
      </w:pPr>
      <w:r>
        <w:t>4. The final claim of error dealing with the doctrine of strict tort liability is directed to the correctness of the jury instruction given about that doctrine.  The record on appeal does not show what objection, if any, was made to the giving of that instruction.  Therefore, we refuse to consider this claim of error.</w:t>
      </w:r>
    </w:p>
    <w:p w:rsidR="00032A5B" w:rsidRDefault="00032A5B" w:rsidP="00593FED">
      <w:pPr>
        <w:spacing w:before="120"/>
      </w:pPr>
      <w:r>
        <w:t>5. The jury awarded Dolinski $2,500 as compensatory damages. Shoshone urges that the award is excessive. Upon drinking the "Squirt," Dolinski immediately became ill, visited a doctor, and was given pills to counteract nausea. At the time of trial more than two years later, he still possessed an aversion to soft drinks, described by a psychiatrist to be a "conditioned reflex" that could continue indefinitely. He lost 20 pounds. In these circumstances we cannot say that the damages must have been given under the influence of passion or prejudice or that our judicial conscience is shocked.</w:t>
      </w:r>
    </w:p>
    <w:p w:rsidR="00032A5B" w:rsidRDefault="00032A5B" w:rsidP="00593FED">
      <w:pPr>
        <w:spacing w:before="120"/>
      </w:pPr>
      <w:r>
        <w:t xml:space="preserve">6. Finally, Shoshone asks that the judgment be reversed because the trial court allowed a psychiatrist, who did not treat Dolinski, to give opinion testimony. . . . </w:t>
      </w:r>
    </w:p>
    <w:p w:rsidR="00032A5B" w:rsidRPr="00967BE7" w:rsidRDefault="00032A5B" w:rsidP="00593FED">
      <w:pPr>
        <w:spacing w:before="120"/>
      </w:pPr>
      <w:r>
        <w:t xml:space="preserve">When the mental or physical condition of a party is in controversy, the court may order him to submit to a physical or mental examination by a physician. That physician may later testify at trial, even though he does not treat the party.  The </w:t>
      </w:r>
      <w:r>
        <w:lastRenderedPageBreak/>
        <w:t>"independent medical examination" usually is of the plaintiff, comes about at the request of the defendant, and the doctor so selected by the defendant testifies at the trial.  Indeed, the doctor is sometimes identified as an "insurance company" doctor, and test</w:t>
      </w:r>
      <w:r w:rsidRPr="00967BE7">
        <w:t>ifies in many cases during the course of a year.  If such testimony is permissible, it is difficult to understand why a doctor selected by the plaintiff for the purpose of giving his expert opinion at trial should be precluded.  The fear of fabrication may exist in either instance, but that fear is not relevant to the doctor's competency as a witness, and is best allayed in the usual manner, by cross examination, jury argument and the like.  It is also accepted that a non-treating doctor may give his expert opinion at trial based upon a hypothetical question.</w:t>
      </w:r>
    </w:p>
    <w:p w:rsidR="00032A5B" w:rsidRPr="00967BE7" w:rsidRDefault="00032A5B" w:rsidP="00593FED">
      <w:pPr>
        <w:spacing w:before="120"/>
      </w:pPr>
      <w:r w:rsidRPr="00967BE7">
        <w:t>We now expressly . . . hold that a physician, who is otherwise a competent witness, may give opinion testimony on behalf of a plaintiff as to the plaintiff's physical or mental condition, even though he did not treat the plaintiff and his opinion is based, in whole or in part, upon the personal history related by the plaintiff.</w:t>
      </w:r>
    </w:p>
    <w:p w:rsidR="00032A5B" w:rsidRPr="00EE0FD8" w:rsidRDefault="00032A5B" w:rsidP="003A3780">
      <w:pPr>
        <w:jc w:val="center"/>
      </w:pPr>
      <w:r>
        <w:br w:type="page"/>
      </w:r>
      <w:r w:rsidRPr="00EE0FD8">
        <w:lastRenderedPageBreak/>
        <w:t xml:space="preserve">ALISON </w:t>
      </w:r>
      <w:r w:rsidRPr="00EE0FD8">
        <w:rPr>
          <w:bCs/>
        </w:rPr>
        <w:t>NOWAK,</w:t>
      </w:r>
      <w:r w:rsidRPr="00EE0FD8">
        <w:t xml:space="preserve"> a Minor, by and through her Parent and Natural Guardian, LEO </w:t>
      </w:r>
      <w:r w:rsidRPr="00EE0FD8">
        <w:rPr>
          <w:bCs/>
        </w:rPr>
        <w:t>NOWAK;</w:t>
      </w:r>
      <w:r w:rsidRPr="00EE0FD8">
        <w:t xml:space="preserve"> Individually, Plaintiffs v. </w:t>
      </w:r>
      <w:r w:rsidRPr="00EE0FD8">
        <w:rPr>
          <w:bCs/>
        </w:rPr>
        <w:t>FABERGE</w:t>
      </w:r>
      <w:r w:rsidRPr="00EE0FD8">
        <w:t xml:space="preserve"> </w:t>
      </w:r>
      <w:smartTag w:uri="urn:schemas-microsoft-com:office:smarttags" w:element="place">
        <w:smartTag w:uri="urn:schemas-microsoft-com:office:smarttags" w:element="country-region">
          <w:r w:rsidRPr="00EE0FD8">
            <w:t>U.S.A.</w:t>
          </w:r>
        </w:smartTag>
      </w:smartTag>
      <w:r w:rsidRPr="00EE0FD8">
        <w:t>, INC.; and PRECISION VALVE CORPORATION, Defendants</w:t>
      </w:r>
    </w:p>
    <w:p w:rsidR="00032A5B" w:rsidRPr="00EE0FD8" w:rsidRDefault="00032A5B" w:rsidP="00032A5B">
      <w:pPr>
        <w:jc w:val="center"/>
      </w:pPr>
      <w:r w:rsidRPr="00EE0FD8">
        <w:br/>
        <w:t xml:space="preserve"> </w:t>
      </w:r>
      <w:r w:rsidRPr="00EE0FD8">
        <w:br/>
      </w:r>
      <w:smartTag w:uri="urn:schemas-microsoft-com:office:smarttags" w:element="country-region">
        <w:r w:rsidRPr="00EE0FD8">
          <w:t>United States</w:t>
        </w:r>
      </w:smartTag>
      <w:r w:rsidRPr="00EE0FD8">
        <w:t xml:space="preserve"> District Court </w:t>
      </w:r>
      <w:r>
        <w:t>f</w:t>
      </w:r>
      <w:r w:rsidRPr="00EE0FD8">
        <w:t xml:space="preserve">or </w:t>
      </w:r>
      <w:r>
        <w:t>the Middle District o</w:t>
      </w:r>
      <w:r w:rsidRPr="00EE0FD8">
        <w:t xml:space="preserve">f </w:t>
      </w:r>
      <w:smartTag w:uri="urn:schemas-microsoft-com:office:smarttags" w:element="place">
        <w:smartTag w:uri="urn:schemas-microsoft-com:office:smarttags" w:element="State">
          <w:r w:rsidRPr="00EE0FD8">
            <w:t>Pennsylvania</w:t>
          </w:r>
        </w:smartTag>
      </w:smartTag>
    </w:p>
    <w:p w:rsidR="00032A5B" w:rsidRPr="00EE0FD8" w:rsidRDefault="00032A5B" w:rsidP="00032A5B">
      <w:pPr>
        <w:jc w:val="center"/>
      </w:pPr>
      <w:r w:rsidRPr="00EE0FD8">
        <w:br/>
        <w:t>812 F. Supp. 492 (1992)</w:t>
      </w:r>
      <w:r w:rsidRPr="00EE0FD8">
        <w:br/>
        <w:t> </w:t>
      </w:r>
      <w:r w:rsidRPr="00EE0FD8">
        <w:br/>
        <w:t>November 13, 1992, Decided  </w:t>
      </w:r>
      <w:r w:rsidRPr="00EE0FD8">
        <w:br/>
      </w:r>
      <w:smartTag w:uri="urn:schemas-microsoft-com:office:smarttags" w:element="date">
        <w:smartTagPr>
          <w:attr w:name="Month" w:val="11"/>
          <w:attr w:name="Day" w:val="13"/>
          <w:attr w:name="Year" w:val="1992"/>
        </w:smartTagPr>
        <w:r w:rsidRPr="00EE0FD8">
          <w:t>November 13, 1992</w:t>
        </w:r>
      </w:smartTag>
      <w:r w:rsidRPr="00EE0FD8">
        <w:t>, Filed</w:t>
      </w:r>
    </w:p>
    <w:p w:rsidR="00032A5B" w:rsidRPr="00EE0FD8" w:rsidRDefault="00032A5B" w:rsidP="00032A5B">
      <w:r w:rsidRPr="00EE0FD8">
        <w:br/>
      </w:r>
    </w:p>
    <w:p w:rsidR="00032A5B" w:rsidRPr="00EE0FD8" w:rsidRDefault="00032A5B" w:rsidP="00032A5B">
      <w:r w:rsidRPr="00EE0FD8">
        <w:rPr>
          <w:bCs/>
        </w:rPr>
        <w:t>DISPOSITION:</w:t>
      </w:r>
      <w:r w:rsidRPr="00EE0FD8">
        <w:t xml:space="preserve">  IT IS HEREBY ORDERED that the motions for judgment n.o.v. and/or a new trial are denied.</w:t>
      </w:r>
      <w:r w:rsidRPr="00EE0FD8">
        <w:br/>
      </w:r>
      <w:r w:rsidRPr="00EE0FD8">
        <w:br/>
      </w:r>
      <w:r w:rsidRPr="00EE0FD8">
        <w:rPr>
          <w:bCs/>
        </w:rPr>
        <w:t>OPINION BY:</w:t>
      </w:r>
      <w:r>
        <w:t xml:space="preserve"> WILLIAM J. NEALON</w:t>
      </w:r>
    </w:p>
    <w:p w:rsidR="00032A5B" w:rsidRPr="00EE0FD8" w:rsidRDefault="00032A5B" w:rsidP="00032A5B">
      <w:r w:rsidRPr="00EE0FD8">
        <w:t xml:space="preserve"> </w:t>
      </w:r>
      <w:r w:rsidRPr="00EE0FD8">
        <w:br/>
        <w:t xml:space="preserve">On </w:t>
      </w:r>
      <w:smartTag w:uri="urn:schemas-microsoft-com:office:smarttags" w:element="date">
        <w:smartTagPr>
          <w:attr w:name="Month" w:val="4"/>
          <w:attr w:name="Day" w:val="7"/>
          <w:attr w:name="Year" w:val="1992"/>
        </w:smartTagPr>
        <w:r w:rsidRPr="00EE0FD8">
          <w:t>April 7, 1992</w:t>
        </w:r>
      </w:smartTag>
      <w:r w:rsidRPr="00EE0FD8">
        <w:t xml:space="preserve">, a jury verdict was returned against defendant Faberge in this products liability case for serious burn injuries sustained by the minor plaintiff when she punctured can of Aqua Net hair spray resulting in the ignition of the spray when it came into contact with the flame from a gas stove. The jury found that the valve system in the hair spray can was defective when it was distributed for sale by Faberge because it failed to operate properly and was also defective because it did not contain adequate warnings. On the separate theory of design defect in the hair spray formulation, the jury found for the defendant. The jury found that those defects were the proximate cause of Alison's injuries and awarded her $1,500,000.00. Defendant Faberge filed post-trial motions for judgment notwithstanding the verdict.  The plaintiff has filed both a reply and a brief in opposition to the defendant's motions. Oral argument was held on </w:t>
      </w:r>
      <w:smartTag w:uri="urn:schemas-microsoft-com:office:smarttags" w:element="date">
        <w:smartTagPr>
          <w:attr w:name="Month" w:val="8"/>
          <w:attr w:name="Day" w:val="5"/>
          <w:attr w:name="Year" w:val="1992"/>
        </w:smartTagPr>
        <w:r w:rsidRPr="00EE0FD8">
          <w:t>August 5, 1992</w:t>
        </w:r>
      </w:smartTag>
      <w:r w:rsidRPr="00EE0FD8">
        <w:t>, and the motions are now ripe for disposition. For reasons which follow, the defendant's motions for judgment notwithstanding the verdict, or, in the alternative, for a new trial, will be denied.</w:t>
      </w:r>
      <w:r w:rsidRPr="00EE0FD8">
        <w:br/>
      </w:r>
      <w:r w:rsidRPr="00EE0FD8">
        <w:br/>
      </w:r>
      <w:r w:rsidRPr="00EE0FD8">
        <w:br/>
      </w:r>
      <w:r w:rsidRPr="00EE0FD8">
        <w:rPr>
          <w:b/>
          <w:bCs/>
        </w:rPr>
        <w:t>I.</w:t>
      </w:r>
      <w:r w:rsidRPr="00EE0FD8">
        <w:rPr>
          <w:b/>
          <w:bCs/>
        </w:rPr>
        <w:tab/>
        <w:t>MOTION FOR JUDGMENT N.O.V.</w:t>
      </w:r>
      <w:r w:rsidRPr="00EE0FD8">
        <w:br/>
      </w:r>
      <w:r w:rsidRPr="00EE0FD8">
        <w:br/>
        <w:t xml:space="preserve">[deleted] </w:t>
      </w:r>
      <w:r w:rsidRPr="00EE0FD8">
        <w:br/>
      </w:r>
      <w:r w:rsidRPr="00EE0FD8">
        <w:br/>
      </w:r>
      <w:r w:rsidRPr="00EE0FD8">
        <w:rPr>
          <w:b/>
          <w:bCs/>
        </w:rPr>
        <w:t>A.</w:t>
      </w:r>
      <w:r w:rsidRPr="00EE0FD8">
        <w:rPr>
          <w:b/>
          <w:bCs/>
        </w:rPr>
        <w:tab/>
        <w:t>FACTUAL BACKGROUND</w:t>
      </w:r>
      <w:r w:rsidRPr="00EE0FD8">
        <w:br/>
      </w:r>
      <w:r w:rsidRPr="00EE0FD8">
        <w:br/>
        <w:t>Faberge manufactures the product "Aqua Net Hair Spray" by assembling component parts, inserting the liquid solvent under pressure and applying the labeling language on the can. The valve assembly component involved here was purchased from Precision Valve Company, one of three suppliers. The main ingredient in the solvent is alcohol and a liquified propellant to activate the spray is mixed into and dissolved in the solvent. A rosin is also inserted in order to hold the hair in place upon application.</w:t>
      </w:r>
      <w:r>
        <w:t xml:space="preserve"> . . </w:t>
      </w:r>
      <w:r w:rsidRPr="00EE0FD8">
        <w:t xml:space="preserve"> At one time, a non-flammable fluorocarbon propellant was utilized but had to be discontinued because it caused environmental problems in the ozone layer. In fact, a fluorocarbon propellant spray was not only non-flammable, but could actually put out a fire. As a result, hydrocarbons, butane and propane, were substituted as propellants for the non-flammable fluorocarbon. </w:t>
      </w:r>
      <w:r>
        <w:t xml:space="preserve"> </w:t>
      </w:r>
      <w:r w:rsidRPr="00EE0FD8">
        <w:t>Butane and propane are extremely flammable, more so than gasoline, and are considered to be dangerous.</w:t>
      </w:r>
      <w:r w:rsidRPr="00EE0FD8">
        <w:br/>
      </w:r>
      <w:r w:rsidRPr="00EE0FD8">
        <w:br/>
        <w:t>After the fluorocarbons were discontinued in favor of hydrocarbons, Faberge concluded that it would be to its advantage for marketing purposes if consumers would not perceive any change in the product. The marketing department at Faberge had the final word as to the warning to be placed on the product, and it was decided that "everything must be made to appear the same" even after being made aware that a more hazardous material was now involved. This decision was made notwithstanding the fact that reports Faberge received from the Consumer Products Safety Commission, as well as consumer complaints directly to the company, disclosed incidents of consumers being injured while puncturing aerosol cans near an open flame.</w:t>
      </w:r>
      <w:r w:rsidRPr="00EE0FD8">
        <w:br/>
      </w:r>
      <w:r w:rsidRPr="00EE0FD8">
        <w:br/>
        <w:t xml:space="preserve">On </w:t>
      </w:r>
      <w:smartTag w:uri="urn:schemas-microsoft-com:office:smarttags" w:element="date">
        <w:smartTagPr>
          <w:attr w:name="Month" w:val="4"/>
          <w:attr w:name="Day" w:val="2"/>
          <w:attr w:name="Year" w:val="1989"/>
        </w:smartTagPr>
        <w:r w:rsidRPr="00EE0FD8">
          <w:t>April 2, 1989</w:t>
        </w:r>
      </w:smartTag>
      <w:r w:rsidRPr="00EE0FD8">
        <w:t xml:space="preserve">, plaintiff's sister, Amy Nowak, purchased the can of Aqua Net hair spray at an Acme Market. The front of the can contained the language "FREE! 33% MORE" and the label "AQUA NET" in large letters. There was no wording on the top of the can. The back of the can contained the usual product promotional claims as well as the ingredients against a light violet background and, in the middle between the claims and the ingredients, and of the same color (white), the </w:t>
      </w:r>
      <w:r w:rsidRPr="00EE0FD8">
        <w:lastRenderedPageBreak/>
        <w:t>following information appeared:</w:t>
      </w:r>
      <w:r w:rsidRPr="00EE0FD8">
        <w:br/>
        <w:t> </w:t>
      </w:r>
      <w:r w:rsidRPr="00EE0FD8">
        <w:br/>
        <w:t>CAUTION: FLAMMABLE. DO NOT USE NEAR FIRE OR FLAME OR WHILE SMOKING.</w:t>
      </w:r>
      <w:r w:rsidRPr="00EE0FD8">
        <w:br/>
        <w:t>WARNING: Avoid spraying in eyes. Contents under pressure.</w:t>
      </w:r>
      <w:r w:rsidRPr="00EE0FD8">
        <w:br/>
        <w:t>Do not puncture or incinerate.</w:t>
      </w:r>
      <w:r w:rsidRPr="00EE0FD8">
        <w:br/>
        <w:t>Do not store at temperature above 120 F.</w:t>
      </w:r>
      <w:r w:rsidRPr="00EE0FD8">
        <w:br/>
        <w:t>Keep out of reach of children. Use only as directed. Intentional misuse by deliberately concentrating and inhaling the contents can be harmful or fatal.</w:t>
      </w:r>
      <w:r w:rsidRPr="00EE0FD8">
        <w:br/>
      </w:r>
      <w:r w:rsidRPr="00EE0FD8">
        <w:br/>
        <w:t>This lettering was of lesser size and prominence than the references on the front and back of the can to "FREE! 33% MORE"; "AQUA NET"; and "HAIR SPRAY."</w:t>
      </w:r>
      <w:r w:rsidRPr="00EE0FD8">
        <w:br/>
      </w:r>
      <w:r w:rsidRPr="00EE0FD8">
        <w:br/>
        <w:t>Amy Nowak attempted to use the product that night but it wouldn't spray. When she pushed the nozzle down "nothing came out." Later, plaintiff tried it but "it didn't work as it should, the spray came out in spurts."   When plaintiff started to spray the next evening, "it didn't work at all." She had previously used an Aqua Net product from a pump bottle, as well as a spray can, and didn't know the differences between the contents of each. It was her belief that she could remove the contents from the spray can and pour it into a pump bottle. Additionally, she thought that she would be able to remove the top with a can opener and, when this was tried unsuccessfully, she punctured the side of the can. The spray spurted out and came in contact with an open flame on a nearby gas stove, of which she was unaware, and enveloped her in flames causing serious burns to her head and body. The extent of the injuries and the amount of damages awarded has not been challenged.</w:t>
      </w:r>
      <w:r w:rsidRPr="00EE0FD8">
        <w:br/>
      </w:r>
      <w:r w:rsidRPr="00EE0FD8">
        <w:br/>
      </w:r>
      <w:r w:rsidRPr="00EE0FD8">
        <w:rPr>
          <w:b/>
          <w:bCs/>
        </w:rPr>
        <w:t>B.</w:t>
      </w:r>
      <w:r w:rsidRPr="00EE0FD8">
        <w:rPr>
          <w:b/>
          <w:bCs/>
        </w:rPr>
        <w:tab/>
        <w:t>VALVE SYSTEM</w:t>
      </w:r>
      <w:r w:rsidRPr="00EE0FD8">
        <w:br/>
      </w:r>
      <w:r w:rsidRPr="00EE0FD8">
        <w:br/>
        <w:t>[deleted]</w:t>
      </w:r>
    </w:p>
    <w:p w:rsidR="00032A5B" w:rsidRPr="00EE0FD8" w:rsidRDefault="00032A5B" w:rsidP="00032A5B"/>
    <w:p w:rsidR="00032A5B" w:rsidRDefault="00032A5B" w:rsidP="00032A5B">
      <w:r w:rsidRPr="00EE0FD8">
        <w:t xml:space="preserve"> </w:t>
      </w:r>
      <w:r w:rsidRPr="00EE0FD8">
        <w:rPr>
          <w:b/>
          <w:bCs/>
        </w:rPr>
        <w:t>C.</w:t>
      </w:r>
      <w:r w:rsidRPr="00EE0FD8">
        <w:rPr>
          <w:b/>
          <w:bCs/>
        </w:rPr>
        <w:tab/>
        <w:t>ADEQUACY OF WARNING</w:t>
      </w:r>
      <w:r w:rsidRPr="00EE0FD8">
        <w:br/>
      </w:r>
      <w:r w:rsidRPr="00EE0FD8">
        <w:br/>
        <w:t>A "defective condition" is not limited to defects in design or manufacture. The seller must provide with the product every element necessary to make it safe for use. One such element may be warnings and/or instructions concerning use of the product. A seller must give such warning and instructions as are required to inform the user or consumer of the possible risks and inherent limitations of his products.</w:t>
      </w:r>
      <w:r>
        <w:t xml:space="preserve"> </w:t>
      </w:r>
      <w:r w:rsidRPr="00EE0FD8">
        <w:t>. . .</w:t>
      </w:r>
      <w:r w:rsidRPr="00EE0FD8">
        <w:br/>
        <w:t> </w:t>
      </w:r>
      <w:r w:rsidRPr="00EE0FD8">
        <w:br/>
        <w:t xml:space="preserve">It must be emphasized that the test of the necessity of warnings or instructions is not to be governed by the reasonable man standard. </w:t>
      </w:r>
      <w:r>
        <w:t xml:space="preserve"> </w:t>
      </w:r>
      <w:r w:rsidRPr="00EE0FD8">
        <w:t>In the strict liability context we reject standards based upon what the "reasonable" consumer could be expected to know or what the "reasonable" manufacturer could be expected to "foresee" about the consumers who use his product. . . . rather, the sole question here is whether the seller accompanied his product with sufficient instructions and warnings so as to make his Product safe. This is for the jury to determine. The necessity and adequacy of warnings in determining the existence of a defect scan and should be considered with a view to all the evidence. The jury should view the relative degrees of danger associated with use of a product since a greater degree of danger requires a greater degree of protection.</w:t>
      </w:r>
      <w:r w:rsidRPr="00EE0FD8">
        <w:br/>
        <w:t> </w:t>
      </w:r>
      <w:r w:rsidRPr="00EE0FD8">
        <w:br/>
        <w:t xml:space="preserve">A manufacturer may be liable for the failure to adequately warn where its warning is not prominent, and not calculated to attract the user's attention to the true nature of the danger due to its position, size or coloring of its lettering. A warning may be found to be inadequate if its size or print  is too small or inappropriately located on the product. The warning must be sufficient to catch the attention of persons who could be expected to use the product, to apprise them of its dangers, and to advise them of the measures to take to avoid these dangers. </w:t>
      </w:r>
      <w:r>
        <w:t xml:space="preserve"> </w:t>
      </w:r>
      <w:r w:rsidRPr="00EE0FD8">
        <w:t>The adequacy of the warning is a question of fact for the jury, . . ., and expert testimony is admissible on the issue of adequacy. Dr. Stephen Wilcox, a Ph.D. in experimental psychology, expressed his opinion that the warning contained on the can was defective and inadequate. He pointed out that it was a highly pressurized, extremely flammable product and received disproportionate use by teenagers, which would call for a more explicit warning mindful of teenagers' inclination not to follow instructions. According to Dr. Wilcox, the warning should advise a consumer what to do if the can did not work and that it should have used a symbol because people don't tend to read the writing on cans. He opined that the warning should be more explicit, such as, "IMMINENT DEATH - DANGER", in order to alert the consumer to serious consequences in using a product storing enormous amount of energy. Additionally, he claimed the warning was not appropriately placed on the can inasmuch as it was on the back and nestled among other language so that it blended in and didn't "jump out at you." He also said the warning should have been segregated and of a different color to make it stand out.</w:t>
      </w:r>
      <w:r w:rsidRPr="00EE0FD8">
        <w:br/>
      </w:r>
      <w:r w:rsidRPr="00EE0FD8">
        <w:br/>
      </w:r>
      <w:r w:rsidRPr="00EE0FD8">
        <w:lastRenderedPageBreak/>
        <w:t xml:space="preserve">Dr. Harold Tanyzer, Professor from </w:t>
      </w:r>
      <w:smartTag w:uri="urn:schemas-microsoft-com:office:smarttags" w:element="place">
        <w:smartTag w:uri="urn:schemas-microsoft-com:office:smarttags" w:element="PlaceName">
          <w:r w:rsidRPr="00EE0FD8">
            <w:t>Hofstra</w:t>
          </w:r>
        </w:smartTag>
        <w:r w:rsidRPr="00EE0FD8">
          <w:t xml:space="preserve"> </w:t>
        </w:r>
        <w:smartTag w:uri="urn:schemas-microsoft-com:office:smarttags" w:element="PlaceType">
          <w:r w:rsidRPr="00EE0FD8">
            <w:t>University</w:t>
          </w:r>
        </w:smartTag>
      </w:smartTag>
      <w:r w:rsidRPr="00EE0FD8">
        <w:t>, who teaches youngsters about warning labels, also testified that the warning was not adequate or effective. He testified that to be an effective warning it must alert the user and explain specifically what the hazards are. He said that the three signal words most commonly used are "Danger", "Warning", and "Caution." According to Dr. Tanyzer, the warning should be placed on the top of the can where it would be most viewable and should be large, bold and bright to attract the reader's att</w:t>
      </w:r>
      <w:r>
        <w:t>ention. . . .</w:t>
      </w:r>
      <w:r w:rsidRPr="00EE0FD8">
        <w:br/>
        <w:t> </w:t>
      </w:r>
      <w:r w:rsidRPr="00EE0FD8">
        <w:br/>
        <w:t xml:space="preserve">This evidence, among others, provided sufficient foundation for a jury to conclude that the warnings on the can in question were inadequate and did not sufficiently inform the user of the possible risks in the product. Thus, a finding that the warnings were insufficient to satisfy Faberge's obligation to provide every element necessary to make the product safe for its intended use is supported by the evidence. </w:t>
      </w:r>
      <w:r w:rsidRPr="00EE0FD8">
        <w:br/>
      </w:r>
      <w:r w:rsidRPr="00EE0FD8">
        <w:br/>
        <w:t>As to causation, liability for failure to warn exists "when there is sufficient evidence that a warning might have made a difference."   Here, there was specific testimony from Dr. Tanyzer that a better warning "might" have made a difference and "would have greatly decreased the chances this accident would have taken place." He stated further, "in my opinion, had an appropriate warning label been used, in all likelihood, this accident might have never happened." Finally, he opined that the defective warning was a "significant" factor in causing plaintiff's injuries.</w:t>
      </w:r>
      <w:r w:rsidRPr="00EE0FD8">
        <w:br/>
      </w:r>
      <w:r w:rsidRPr="00EE0FD8">
        <w:br/>
        <w:t xml:space="preserve">Additionally, the plaintiff testified that had the writing been on top of the can, as it was on the exemplar, she would have noticed it and been able to read it. She said specifically that she would not have tried to open the can if it contained language that it would be replaced if the valve failed to work. She explained that she didn't read the language on the back of the can because it consisted of "little, tiny words" and didn't believe "it said anything." Even when a warning is provided, the failure to read it does not necessarily bar recovery where the plaintiff is challenging the adequacy of the efforts of the manufacturer to communicate the dangers of the product to the buyer or user. </w:t>
      </w:r>
      <w:r>
        <w:t xml:space="preserve"> </w:t>
      </w:r>
      <w:r w:rsidRPr="00EE0FD8">
        <w:t xml:space="preserve">Notwithstanding a failure to read, a jury could conclude that the danger was sufficiently great that the warning should have been presented in a way immediately obvious to even a casual reader. An ineffective warning is tantamount to no warning at all and a manufacturer cannot rely upon a warning which was insufficient to prevent the injury. </w:t>
      </w:r>
      <w:r>
        <w:t>. . .</w:t>
      </w:r>
      <w:r w:rsidRPr="00EE0FD8">
        <w:br/>
      </w:r>
      <w:r w:rsidRPr="00EE0FD8">
        <w:br/>
        <w:t xml:space="preserve">The plaintiff is only required to show by a preponderance of the evidence that the defendant's conduct may have been a substantial factor in causing harm to her, i.e., may have changed the unsafe behavior which ultimately contributed to the plaintiff's injury. Petree, at 1196. The test for proximate cause is whether the defendant's conduct was a "substantial cause" or an "insignificant cause" and "the determination of the issue simply involves the making of a judgment as to whether the defendant's conduct although a cause in the "but for" sense is so insignificant that no ordinary mind would think of it as a cause for which a defendant should be held responsible". </w:t>
      </w:r>
      <w:r w:rsidRPr="00EE0FD8">
        <w:br/>
      </w:r>
      <w:r w:rsidRPr="00EE0FD8">
        <w:br/>
        <w:t>The opinion testimony that different warnings might have made the difference; that the warning placed on top of the can  would be noticed; that more prominent warnings would be visible; and that the warnings as contained on the can were nestled in obscurity on the back of the can and didn't "jump out at you" as should be expected, established the inadequacy of the warning.</w:t>
      </w:r>
      <w:r w:rsidRPr="00EE0FD8">
        <w:br/>
      </w:r>
      <w:r w:rsidRPr="00EE0FD8">
        <w:br/>
        <w:t>It is clear that a jury could find that the warnings given were inadequate; that adequate warnings would have caused the plaintiff to notice them and be able to read them; that notice as to what should be done if the can failed to function properly would have caused the plaintiff to refrain from attempting to open the can; and, consequently, that the defective warning was a significant factor in causing piaintiff's injuries.</w:t>
      </w:r>
      <w:r w:rsidRPr="00EE0FD8">
        <w:br/>
      </w:r>
    </w:p>
    <w:p w:rsidR="00032A5B" w:rsidRPr="00EE0FD8" w:rsidRDefault="00032A5B" w:rsidP="00032A5B">
      <w:r w:rsidRPr="00EE0FD8">
        <w:br/>
      </w:r>
      <w:r w:rsidRPr="00EE0FD8">
        <w:rPr>
          <w:b/>
          <w:bCs/>
        </w:rPr>
        <w:t>II.</w:t>
      </w:r>
      <w:r w:rsidRPr="00EE0FD8">
        <w:rPr>
          <w:b/>
          <w:bCs/>
        </w:rPr>
        <w:tab/>
        <w:t>NEW TRIAL</w:t>
      </w:r>
      <w:r w:rsidRPr="00EE0FD8">
        <w:br/>
      </w:r>
      <w:r w:rsidRPr="00EE0FD8">
        <w:br/>
        <w:t xml:space="preserve">[ deleted] </w:t>
      </w:r>
    </w:p>
    <w:p w:rsidR="00032A5B" w:rsidRDefault="00032A5B" w:rsidP="00032A5B"/>
    <w:p w:rsidR="00032A5B" w:rsidRDefault="00032A5B" w:rsidP="00032A5B">
      <w:r w:rsidRPr="00EE0FD8">
        <w:br/>
      </w:r>
      <w:r w:rsidRPr="00EE0FD8">
        <w:rPr>
          <w:b/>
          <w:bCs/>
        </w:rPr>
        <w:t>III.</w:t>
      </w:r>
      <w:r w:rsidRPr="00EE0FD8">
        <w:rPr>
          <w:b/>
          <w:bCs/>
        </w:rPr>
        <w:tab/>
        <w:t>DISPOSITION</w:t>
      </w:r>
      <w:r w:rsidRPr="00EE0FD8">
        <w:br/>
      </w:r>
      <w:r w:rsidRPr="00EE0FD8">
        <w:br/>
        <w:t>Defendant's motions have been carefully considered and are held to be without merit. Accordingly, the motion for judgment n.o.v. and/or for a new trial will be denie</w:t>
      </w:r>
      <w:r>
        <w:t>d.</w:t>
      </w:r>
      <w:r>
        <w:br/>
      </w:r>
    </w:p>
    <w:p w:rsidR="00032A5B" w:rsidRPr="00883F23" w:rsidRDefault="00032A5B" w:rsidP="00032A5B">
      <w:pPr>
        <w:ind w:left="1200" w:right="1200"/>
        <w:jc w:val="center"/>
        <w:rPr>
          <w:bCs/>
        </w:rPr>
      </w:pPr>
      <w:r>
        <w:br w:type="page"/>
      </w:r>
      <w:r w:rsidRPr="00883F23">
        <w:rPr>
          <w:bCs/>
        </w:rPr>
        <w:lastRenderedPageBreak/>
        <w:t>JOHN ELSROTH as Administrator of the Estate of DIANE ELSROTH, Plaintiff, v. JOHNSON &amp; JOHNSON; McNEILAB, INC., and the GREAT ATLANTIC &amp; PACIFIC TEA CO., INC., Defe</w:t>
      </w:r>
      <w:r>
        <w:rPr>
          <w:bCs/>
        </w:rPr>
        <w:t>n</w:t>
      </w:r>
      <w:r w:rsidRPr="00883F23">
        <w:rPr>
          <w:bCs/>
        </w:rPr>
        <w:t>dants</w:t>
      </w:r>
    </w:p>
    <w:p w:rsidR="00032A5B" w:rsidRPr="00883F23" w:rsidRDefault="00032A5B" w:rsidP="00032A5B">
      <w:pPr>
        <w:rPr>
          <w:bCs/>
        </w:rPr>
      </w:pPr>
    </w:p>
    <w:p w:rsidR="00032A5B" w:rsidRPr="00883F23" w:rsidRDefault="00032A5B" w:rsidP="00032A5B">
      <w:pPr>
        <w:rPr>
          <w:bCs/>
        </w:rPr>
      </w:pPr>
    </w:p>
    <w:p w:rsidR="00032A5B" w:rsidRPr="00883F23" w:rsidRDefault="00032A5B" w:rsidP="00032A5B">
      <w:pPr>
        <w:ind w:left="1200" w:right="1200"/>
        <w:jc w:val="center"/>
        <w:rPr>
          <w:bCs/>
        </w:rPr>
      </w:pPr>
      <w:smartTag w:uri="urn:schemas-microsoft-com:office:smarttags" w:element="place">
        <w:smartTag w:uri="urn:schemas-microsoft-com:office:smarttags" w:element="country-region">
          <w:r w:rsidRPr="00883F23">
            <w:rPr>
              <w:bCs/>
            </w:rPr>
            <w:t>United States</w:t>
          </w:r>
        </w:smartTag>
      </w:smartTag>
      <w:r w:rsidRPr="00883F23">
        <w:rPr>
          <w:bCs/>
        </w:rPr>
        <w:t xml:space="preserve"> District Court </w:t>
      </w:r>
      <w:r>
        <w:rPr>
          <w:bCs/>
        </w:rPr>
        <w:t>f</w:t>
      </w:r>
      <w:r w:rsidRPr="00883F23">
        <w:rPr>
          <w:bCs/>
        </w:rPr>
        <w:t xml:space="preserve">or </w:t>
      </w:r>
      <w:r>
        <w:rPr>
          <w:bCs/>
        </w:rPr>
        <w:t>t</w:t>
      </w:r>
      <w:r w:rsidRPr="00883F23">
        <w:rPr>
          <w:bCs/>
        </w:rPr>
        <w:t xml:space="preserve">he Southern District </w:t>
      </w:r>
      <w:r>
        <w:rPr>
          <w:bCs/>
        </w:rPr>
        <w:t>o</w:t>
      </w:r>
      <w:r w:rsidRPr="00883F23">
        <w:rPr>
          <w:bCs/>
        </w:rPr>
        <w:t>f New York</w:t>
      </w:r>
    </w:p>
    <w:p w:rsidR="00032A5B" w:rsidRPr="00883F23" w:rsidRDefault="00032A5B" w:rsidP="00032A5B">
      <w:pPr>
        <w:rPr>
          <w:bCs/>
        </w:rPr>
      </w:pPr>
    </w:p>
    <w:p w:rsidR="00032A5B" w:rsidRPr="00883F23" w:rsidRDefault="00032A5B" w:rsidP="00032A5B">
      <w:pPr>
        <w:ind w:left="1200" w:right="1200"/>
        <w:jc w:val="center"/>
        <w:rPr>
          <w:bCs/>
          <w:color w:val="000000"/>
        </w:rPr>
      </w:pPr>
      <w:r w:rsidRPr="00883F23">
        <w:rPr>
          <w:bCs/>
          <w:color w:val="000000"/>
        </w:rPr>
        <w:t>700 F. Supp. 151</w:t>
      </w:r>
    </w:p>
    <w:p w:rsidR="00032A5B" w:rsidRPr="00883F23" w:rsidRDefault="00032A5B" w:rsidP="00032A5B">
      <w:pPr>
        <w:rPr>
          <w:bCs/>
        </w:rPr>
      </w:pPr>
    </w:p>
    <w:p w:rsidR="00032A5B" w:rsidRPr="00883F23" w:rsidRDefault="00032A5B" w:rsidP="00032A5B">
      <w:pPr>
        <w:ind w:left="1200" w:right="1200"/>
        <w:jc w:val="center"/>
        <w:rPr>
          <w:bCs/>
        </w:rPr>
      </w:pPr>
      <w:smartTag w:uri="urn:schemas-microsoft-com:office:smarttags" w:element="date">
        <w:smartTagPr>
          <w:attr w:name="Month" w:val="11"/>
          <w:attr w:name="Day" w:val="15"/>
          <w:attr w:name="Year" w:val="1988"/>
        </w:smartTagPr>
        <w:r w:rsidRPr="00883F23">
          <w:rPr>
            <w:bCs/>
          </w:rPr>
          <w:t>November 15, 1988</w:t>
        </w:r>
      </w:smartTag>
      <w:r w:rsidRPr="00883F23">
        <w:rPr>
          <w:bCs/>
        </w:rPr>
        <w:t xml:space="preserve">, Decided </w:t>
      </w:r>
    </w:p>
    <w:p w:rsidR="00032A5B" w:rsidRPr="00883F23" w:rsidRDefault="00032A5B" w:rsidP="00032A5B">
      <w:pPr>
        <w:rPr>
          <w:bCs/>
        </w:rPr>
      </w:pPr>
    </w:p>
    <w:p w:rsidR="00032A5B" w:rsidRDefault="00032A5B" w:rsidP="00032A5B"/>
    <w:p w:rsidR="00032A5B" w:rsidRDefault="00032A5B" w:rsidP="00032A5B"/>
    <w:p w:rsidR="00032A5B" w:rsidRPr="00883F23" w:rsidRDefault="00032A5B" w:rsidP="00032A5B">
      <w:r>
        <w:rPr>
          <w:bCs/>
        </w:rPr>
        <w:t>OPINION BY:</w:t>
      </w:r>
      <w:r w:rsidRPr="00883F23">
        <w:rPr>
          <w:bCs/>
        </w:rPr>
        <w:t xml:space="preserve"> </w:t>
      </w:r>
      <w:r w:rsidRPr="00883F23">
        <w:t xml:space="preserve"> Gerard L. Goettel,</w:t>
      </w:r>
      <w:r>
        <w:t xml:space="preserve"> United States District Judge</w:t>
      </w:r>
    </w:p>
    <w:p w:rsidR="00032A5B" w:rsidRPr="00883F23" w:rsidRDefault="00032A5B" w:rsidP="00032A5B"/>
    <w:p w:rsidR="00032A5B" w:rsidRDefault="00032A5B" w:rsidP="00032A5B">
      <w:pPr>
        <w:spacing w:before="120"/>
      </w:pPr>
      <w:r w:rsidRPr="00883F23">
        <w:t xml:space="preserve">With the California Supreme Court's decision in </w:t>
      </w:r>
      <w:r w:rsidRPr="00883F23">
        <w:rPr>
          <w:i/>
          <w:iCs/>
        </w:rPr>
        <w:t>Greenman v. Yuba Power Products</w:t>
      </w:r>
      <w:r w:rsidRPr="00883F23">
        <w:t xml:space="preserve">, 59 </w:t>
      </w:r>
      <w:smartTag w:uri="urn:schemas-microsoft-com:office:smarttags" w:element="place">
        <w:smartTag w:uri="urn:schemas-microsoft-com:office:smarttags" w:element="State">
          <w:r w:rsidRPr="00883F23">
            <w:t>Cal.</w:t>
          </w:r>
        </w:smartTag>
      </w:smartTag>
      <w:r w:rsidRPr="00883F23">
        <w:t xml:space="preserve"> 2d</w:t>
      </w:r>
      <w:r>
        <w:t xml:space="preserve"> 57 </w:t>
      </w:r>
      <w:r w:rsidRPr="00883F23">
        <w:t xml:space="preserve">(1963), this country embarked down the largely uncharted road of strict products liability </w:t>
      </w:r>
      <w:r>
        <w:t>—</w:t>
      </w:r>
      <w:r w:rsidRPr="00883F23">
        <w:t xml:space="preserve"> a road whose twists and turns are still being mapped by our legislatures and courts. Today's case represents another signpost along </w:t>
      </w:r>
      <w:r>
        <w:t>that journey. It presents certain unique and difficult questions regarding the extent to which society is prepared to hold manufacturers and retailers liable for product tampering by third parties (in this case, unknown third parties). Before turning to the facts, some background is in order.</w:t>
      </w:r>
    </w:p>
    <w:p w:rsidR="00032A5B" w:rsidRDefault="00032A5B" w:rsidP="00032A5B">
      <w:pPr>
        <w:spacing w:before="120"/>
      </w:pPr>
      <w:r>
        <w:t xml:space="preserve">In late September of 1982, this country was shocked by a series of murders in the </w:t>
      </w:r>
      <w:smartTag w:uri="urn:schemas-microsoft-com:office:smarttags" w:element="place">
        <w:smartTag w:uri="urn:schemas-microsoft-com:office:smarttags" w:element="City">
          <w:r>
            <w:t>Chicago</w:t>
          </w:r>
        </w:smartTag>
      </w:smartTag>
      <w:r>
        <w:t xml:space="preserve"> area stemming from cyanide tampering of Extra-Strength Tylenol capsules.  In swift response to those tragedies, the pharmaceutical industry, in concert with the Federal Government, moved to protect consumers from the perils and random madness of product tampering.</w:t>
      </w:r>
    </w:p>
    <w:p w:rsidR="00032A5B" w:rsidRDefault="00032A5B" w:rsidP="00032A5B">
      <w:pPr>
        <w:spacing w:before="120"/>
      </w:pPr>
      <w:r>
        <w:t xml:space="preserve">On </w:t>
      </w:r>
      <w:smartTag w:uri="urn:schemas-microsoft-com:office:smarttags" w:element="date">
        <w:smartTagPr>
          <w:attr w:name="Month" w:val="11"/>
          <w:attr w:name="Day" w:val="5"/>
          <w:attr w:name="Year" w:val="1982"/>
        </w:smartTagPr>
        <w:r>
          <w:t>November 5, 1982</w:t>
        </w:r>
      </w:smartTag>
      <w:r>
        <w:t xml:space="preserve">, barely one month after the </w:t>
      </w:r>
      <w:smartTag w:uri="urn:schemas-microsoft-com:office:smarttags" w:element="place">
        <w:smartTag w:uri="urn:schemas-microsoft-com:office:smarttags" w:element="City">
          <w:r>
            <w:t>Chicago</w:t>
          </w:r>
        </w:smartTag>
      </w:smartTag>
      <w:r>
        <w:t xml:space="preserve"> tragedies were made public, the Food and Drug Administration (the "FDA") issued a final rule on tamper-resistant packaging applicable to most over-the-counter drugs, such as Tylenol.  As a result of that rule, manufacturers of over-the-counter drugs (with certain limited exceptions) were given a timetable in which to take steps to improve product integrity by virtue of a tamper-resistant package.   The rule defines a "tamper-resistant package" as "one having an indicator or barrier to entry which, if breached or missing, can reasonably be expected to provide visible evidence to consumers that tampering has occurred." 21 C.F.R. § 211.132 (1987).  As the FDA's comments attending issuance of the rule made clear, the rule allowed manufacturers flexibility in determining the most appropriate of several packaging options available (including various types of wrappers and seals listed by the FDA, although it made clear the list was by no means exhaustive or preclusive). </w:t>
      </w:r>
    </w:p>
    <w:p w:rsidR="00032A5B" w:rsidRDefault="00032A5B" w:rsidP="00032A5B">
      <w:pPr>
        <w:spacing w:before="120"/>
      </w:pPr>
      <w:r>
        <w:t>Following issuance of the rule, the makers of Tylenol have marketed that product in tamper-resistant packaging with the following features: (1) a foil seal glued to the mouth of the container or bottle; (2) a "shrink seal" around the neck and cap of the container; and (3) a sealed box (the end flaps of which are glued shut) in which the product and container are placed. It appears that by 1986, after a considerable period of market losses Tylenol had incredibly regained its dominant position in the market for over-the-counter pain relievers.</w:t>
      </w:r>
    </w:p>
    <w:p w:rsidR="00032A5B" w:rsidRDefault="00032A5B" w:rsidP="00032A5B">
      <w:pPr>
        <w:spacing w:before="120"/>
      </w:pPr>
      <w:r>
        <w:t>Against that backdrop, we turn to the facts underlying the present action, about which there are no material disputes.</w:t>
      </w:r>
    </w:p>
    <w:p w:rsidR="00032A5B" w:rsidRDefault="00032A5B" w:rsidP="00032A5B"/>
    <w:p w:rsidR="00032A5B" w:rsidRDefault="00032A5B" w:rsidP="00032A5B">
      <w:pPr>
        <w:rPr>
          <w:b/>
          <w:bCs/>
        </w:rPr>
      </w:pPr>
    </w:p>
    <w:p w:rsidR="00032A5B" w:rsidRDefault="00032A5B" w:rsidP="00032A5B">
      <w:r>
        <w:rPr>
          <w:b/>
          <w:bCs/>
        </w:rPr>
        <w:t>I.  FACTS</w:t>
      </w:r>
    </w:p>
    <w:p w:rsidR="00032A5B" w:rsidRDefault="00032A5B" w:rsidP="00032A5B">
      <w:pPr>
        <w:spacing w:before="120"/>
      </w:pPr>
      <w:r>
        <w:t xml:space="preserve">On </w:t>
      </w:r>
      <w:smartTag w:uri="urn:schemas-microsoft-com:office:smarttags" w:element="date">
        <w:smartTagPr>
          <w:attr w:name="Month" w:val="2"/>
          <w:attr w:name="Day" w:val="4"/>
          <w:attr w:name="Year" w:val="1986"/>
        </w:smartTagPr>
        <w:r>
          <w:t>February 4, 1986</w:t>
        </w:r>
      </w:smartTag>
      <w:r>
        <w:t xml:space="preserve">, Harriet Notarnicola purchased a box of Extra-Strength Tylenol capsules from a Bronxville grocery store owned and operated by the defendant, the Great Atlantic &amp; Pacific Tea Co.  ("A &amp; P"). During her deposition, Mrs. Notarnicola testified that the package did not appear out of the ordinary in any way; </w:t>
      </w:r>
      <w:r>
        <w:rPr>
          <w:i/>
          <w:iCs/>
        </w:rPr>
        <w:t>i.e</w:t>
      </w:r>
      <w:r>
        <w:t>., it was not apparent to her that there had been any product tampering. When she returned home, she placed the unopened box in her food closet.</w:t>
      </w:r>
    </w:p>
    <w:p w:rsidR="00032A5B" w:rsidRDefault="00032A5B" w:rsidP="00032A5B">
      <w:pPr>
        <w:spacing w:before="120"/>
      </w:pPr>
      <w:r>
        <w:t xml:space="preserve">The decedent, Diane Elsroth, was that week visiting her boyfriend, Michael Notarnicola, at the home of Michael's parents. Late on the night of February 7, Diane complained of a headache. Michael went to the kitchen, opened the box and plastic container of Extra-Strength Tylenol purchased by his mother earlier that week, and returned with two capsules and a glass of water for Diane. At his deposition, Michael testified that he noticed nothing unusual about the packaging; </w:t>
      </w:r>
      <w:r>
        <w:rPr>
          <w:i/>
          <w:iCs/>
        </w:rPr>
        <w:t>i.e</w:t>
      </w:r>
      <w:r>
        <w:t>., the flaps to the box were glued shut, the shrink seal did not appear to be disturbed, and the foil seal further securing the capsules had not been broken.</w:t>
      </w:r>
    </w:p>
    <w:p w:rsidR="00032A5B" w:rsidRDefault="00032A5B" w:rsidP="00032A5B">
      <w:pPr>
        <w:spacing w:before="120"/>
      </w:pPr>
      <w:r>
        <w:lastRenderedPageBreak/>
        <w:t>A short time after ingesting the capsules, Diane retired, mentioning that she was not feeling well. Her dead body was found the next day. The medical examiner concluded that the Tylenol capsules she ingested were contaminated by a lethal dose of potassium cyanide. Her death was listed as a homicide.</w:t>
      </w:r>
    </w:p>
    <w:p w:rsidR="00032A5B" w:rsidRDefault="00032A5B" w:rsidP="00032A5B">
      <w:pPr>
        <w:spacing w:before="120"/>
      </w:pPr>
      <w:r>
        <w:t xml:space="preserve">The murder remains unsolved, and it has not been determined conclusively how the product was tampered with. There is no genuine dispute, however, as to a crucial, material fact—the tampering in question occurred after the product left the manufacturer's control. Consistent with the FDA's conclusions as to the </w:t>
      </w:r>
      <w:smartTag w:uri="urn:schemas-microsoft-com:office:smarttags" w:element="place">
        <w:smartTag w:uri="urn:schemas-microsoft-com:office:smarttags" w:element="City">
          <w:r>
            <w:t>Chicago</w:t>
          </w:r>
        </w:smartTag>
      </w:smartTag>
      <w:r>
        <w:t xml:space="preserve"> incidents in 1982, and the investigation of the Federal Bureau of Investigation in the instant case, the most likely scenario appears to be as follows. An unknown third party purchased or stole the Extra-Strength Tylenol in question at the Bronxville A &amp; P, or at some other location. That individual breached the packaging, and substituted cyanide for some of the medicine contained in several of the gelatin capsules.  The individual replaced the now-contaminated capsules in the container and somehow was able to reseal the container and box in such a way that the tampering was not readily detectable. That individual then placed the contaminated box of Extra-Strength Tylenol on the shelf of the Bronxville A&amp;P, where it was purchased on February 4 by Mrs. Notarnicola.</w:t>
      </w:r>
    </w:p>
    <w:p w:rsidR="00032A5B" w:rsidRDefault="00032A5B" w:rsidP="00032A5B">
      <w:pPr>
        <w:spacing w:before="120"/>
      </w:pPr>
      <w:r>
        <w:t>Against this factual backdrop, John Elsroth, administrator of Diane Elsroth's estate, brings this action seeking to hold liable A &amp; P and McNeil Consumer Products Co., a division of McNeilab, Inc. ("McNeil"), the manufacturer of Extra-Strength Tylenol.  Plaintiff seeks $1 million in compensatory damages on any one of three alternative grounds: strict products liability, breach of warranty, or negligence. He also seeks $92 million in punitive damages based on the allegedly outrageous conduct of the defendants, and $500,000 for medical, funeral, and other expenses sustained by the estate as well as for pecuniary losses sustained by the decedent's next-of-kin.</w:t>
      </w:r>
    </w:p>
    <w:p w:rsidR="00032A5B" w:rsidRDefault="00032A5B" w:rsidP="00032A5B">
      <w:pPr>
        <w:spacing w:before="120"/>
      </w:pPr>
      <w:r>
        <w:t xml:space="preserve">The suit originally was brought in </w:t>
      </w:r>
      <w:smartTag w:uri="urn:schemas-microsoft-com:office:smarttags" w:element="place">
        <w:smartTag w:uri="urn:schemas-microsoft-com:office:smarttags" w:element="PlaceName">
          <w:r>
            <w:t>New York</w:t>
          </w:r>
        </w:smartTag>
        <w:r>
          <w:t xml:space="preserve"> </w:t>
        </w:r>
        <w:smartTag w:uri="urn:schemas-microsoft-com:office:smarttags" w:element="PlaceType">
          <w:r>
            <w:t>State</w:t>
          </w:r>
        </w:smartTag>
      </w:smartTag>
      <w:r>
        <w:t xml:space="preserve"> court, but was removed to this court on petition of defendant A&amp;P on the basis of diversity.</w:t>
      </w:r>
    </w:p>
    <w:p w:rsidR="00032A5B" w:rsidRDefault="00032A5B" w:rsidP="00032A5B">
      <w:pPr>
        <w:spacing w:before="120"/>
      </w:pPr>
      <w:r>
        <w:t>The defendants move for summary judgment on all claims. . . . We grant defendants' motions for summary judgment.</w:t>
      </w:r>
    </w:p>
    <w:p w:rsidR="00032A5B" w:rsidRDefault="00032A5B" w:rsidP="00032A5B">
      <w:pPr>
        <w:spacing w:before="120"/>
      </w:pPr>
    </w:p>
    <w:p w:rsidR="00032A5B" w:rsidRDefault="00032A5B" w:rsidP="00032A5B">
      <w:pPr>
        <w:spacing w:before="120"/>
      </w:pPr>
      <w:r>
        <w:t>II. DISCUSSION</w:t>
      </w:r>
    </w:p>
    <w:p w:rsidR="00032A5B" w:rsidRDefault="00032A5B" w:rsidP="00032A5B"/>
    <w:p w:rsidR="00032A5B" w:rsidRDefault="00032A5B" w:rsidP="00032A5B">
      <w:r>
        <w:rPr>
          <w:b/>
          <w:bCs/>
          <w:i/>
          <w:iCs/>
        </w:rPr>
        <w:t>A. A &amp; P's Alleged Negligence</w:t>
      </w:r>
    </w:p>
    <w:p w:rsidR="00032A5B" w:rsidRDefault="00032A5B" w:rsidP="00032A5B">
      <w:pPr>
        <w:spacing w:before="120"/>
      </w:pPr>
      <w:r>
        <w:t>[discussion omitted]</w:t>
      </w:r>
    </w:p>
    <w:p w:rsidR="00032A5B" w:rsidRDefault="00032A5B" w:rsidP="00032A5B"/>
    <w:p w:rsidR="00032A5B" w:rsidRDefault="00032A5B" w:rsidP="00032A5B">
      <w:r>
        <w:rPr>
          <w:b/>
          <w:bCs/>
          <w:i/>
          <w:iCs/>
        </w:rPr>
        <w:t>B. Strict Products Liability</w:t>
      </w:r>
    </w:p>
    <w:p w:rsidR="00032A5B" w:rsidRDefault="00032A5B" w:rsidP="00032A5B">
      <w:pPr>
        <w:spacing w:before="120"/>
      </w:pPr>
      <w:r>
        <w:t xml:space="preserve">We consider next the core of plaintiff's complaint — the various claims sounding in strict products liability. . . </w:t>
      </w:r>
    </w:p>
    <w:p w:rsidR="00032A5B" w:rsidRDefault="00032A5B" w:rsidP="00032A5B">
      <w:pPr>
        <w:spacing w:before="120"/>
      </w:pPr>
      <w:r>
        <w:t xml:space="preserve">We turn, then, to the heart of this case — the alleged marketing of a defective product for which the manufacturer and/or the retailer may be held accountable under a theory of strict products liability. As in most jurisdictions,  a products claim in </w:t>
      </w:r>
      <w:smartTag w:uri="urn:schemas-microsoft-com:office:smarttags" w:element="place">
        <w:smartTag w:uri="urn:schemas-microsoft-com:office:smarttags" w:element="State">
          <w:r>
            <w:t>New York</w:t>
          </w:r>
        </w:smartTag>
      </w:smartTag>
      <w:r>
        <w:t xml:space="preserve"> may be based on product, design, or warning defects. . . .  All three are asserted  here, and we consider each in turn.</w:t>
      </w:r>
    </w:p>
    <w:p w:rsidR="00032A5B" w:rsidRDefault="00032A5B" w:rsidP="00032A5B">
      <w:pPr>
        <w:spacing w:before="120"/>
      </w:pPr>
    </w:p>
    <w:p w:rsidR="00032A5B" w:rsidRDefault="00032A5B" w:rsidP="00032A5B">
      <w:pPr>
        <w:spacing w:before="120"/>
      </w:pPr>
      <w:r>
        <w:rPr>
          <w:i/>
          <w:iCs/>
        </w:rPr>
        <w:t>1. Product Defect</w:t>
      </w:r>
    </w:p>
    <w:p w:rsidR="00032A5B" w:rsidRDefault="00032A5B" w:rsidP="00032A5B">
      <w:pPr>
        <w:spacing w:before="120"/>
      </w:pPr>
      <w:r>
        <w:t xml:space="preserve">Plaintiff first contends that A &amp; P must be found liable on a product defect theory in that the product sold, Extra-Strength Tylenol capsules, left the seller's hands in "defective" condition laced with potassium cyanide. Since it is conceded the alleged "defect" occurred post-manufacture, plaintiff does not assert this claim against McNeil. He argues, however, that the retailer may be held strictly liable since it is engaged in the business of selling Tylenol and the Tylenol product it sold in this case was "defective." We disagree. . . . </w:t>
      </w:r>
    </w:p>
    <w:p w:rsidR="00032A5B" w:rsidRDefault="00032A5B" w:rsidP="00032A5B">
      <w:pPr>
        <w:spacing w:before="120"/>
      </w:pPr>
      <w:r>
        <w:t>This case is far outside the confines of that rule. There is no evidence here that the retailer poisoned or otherwise altered the product. Instead, this case concerns product tampering by an unknown third party. It appears that individual(s) bought or pilfered the product (either from this A &amp; P or from another store), removed it from the premises, tampered with it, and then placed the contaminated product on A &amp; P's shelves. Although this tampering obviously caused the  product to be in an unreasonably dangerous condition when it left the retailer's hands for the second time, that condition cannot be attributed to the retailer on a product defect theory. It is attributable solely to the criminal intervention of a third party outside the ordinary parameters of the retail process.</w:t>
      </w:r>
    </w:p>
    <w:p w:rsidR="00032A5B" w:rsidRDefault="00032A5B" w:rsidP="00032A5B">
      <w:pPr>
        <w:spacing w:before="120"/>
      </w:pPr>
      <w:r>
        <w:lastRenderedPageBreak/>
        <w:t xml:space="preserve">To hold otherwise in this case would be a perversion of the justification partly underpinning the law of strict products liability, to wit, that manufacturers and retailers are in the best positions to shoulder the costs of products liability as a cost of doing business. . . .  If plaintiff's claim sounding in product defect were allowed to stand, retailers would be forced to underwrite the costs of criminal conduct outside the scope of the manufacture-retail process as a cost of doing business, a result far removed from the origins of this doctrine and without justification under any sound notion of public policy. A &amp; P's motion on the product defect claim must be granted. . . . </w:t>
      </w:r>
    </w:p>
    <w:p w:rsidR="00032A5B" w:rsidRDefault="00032A5B" w:rsidP="00032A5B">
      <w:pPr>
        <w:spacing w:before="120"/>
      </w:pPr>
      <w:r>
        <w:t>For all of these reasons, A &amp; P's motion for summary judgment on the product defect claim is granted.</w:t>
      </w:r>
    </w:p>
    <w:p w:rsidR="00032A5B" w:rsidRDefault="00032A5B" w:rsidP="00032A5B">
      <w:pPr>
        <w:spacing w:before="120"/>
      </w:pPr>
    </w:p>
    <w:p w:rsidR="00032A5B" w:rsidRDefault="00032A5B" w:rsidP="00032A5B">
      <w:pPr>
        <w:spacing w:before="120"/>
      </w:pPr>
      <w:r>
        <w:rPr>
          <w:i/>
          <w:iCs/>
        </w:rPr>
        <w:t>2. Design Defect</w:t>
      </w:r>
    </w:p>
    <w:p w:rsidR="00032A5B" w:rsidRDefault="00032A5B" w:rsidP="00032A5B">
      <w:pPr>
        <w:spacing w:before="120"/>
      </w:pPr>
      <w:r>
        <w:t>Plaintiff contends that both defendants are liable on either of two design defect claims: (a) that the packaging used for Extra-Strength Tylenol capsules is defectively designed in that it is not sufficiently tamper-resistant; and (b) the product here at issue — gelatin capsules — suffers from a design defect in that it is more susceptible to tampering than other forms of the medicine (such as tablets or caplets). We think neither passes muster, and we grant defendants' motions for summary judgment on the design defect claims.</w:t>
      </w:r>
    </w:p>
    <w:p w:rsidR="00032A5B" w:rsidRDefault="00032A5B" w:rsidP="00032A5B">
      <w:pPr>
        <w:spacing w:before="120"/>
      </w:pPr>
      <w:r>
        <w:t>(a) The Packaging</w:t>
      </w:r>
    </w:p>
    <w:p w:rsidR="00032A5B" w:rsidRDefault="00032A5B" w:rsidP="00032A5B">
      <w:pPr>
        <w:spacing w:before="120"/>
      </w:pPr>
      <w:r>
        <w:t>Plaintiff contends that the packaging used in this case obviously was not tamper-resistant enough, which plaintiff attributes to a design defect. He highlights the fact that no evidence was left of the tampering which, in plaintiff's mind, underscores the defect. This claim must fail as a matter of law.</w:t>
      </w:r>
    </w:p>
    <w:p w:rsidR="00032A5B" w:rsidRDefault="00032A5B" w:rsidP="00032A5B">
      <w:pPr>
        <w:spacing w:before="120"/>
      </w:pPr>
      <w:r>
        <w:t xml:space="preserve">In determining whether a particular design is defective, the question is "whether the product as designed was 'not reasonably safe' — that is, whether it is a product which, if the design defect were known at the time of manufacture, a reasonable person would conclude that the utility of the product did not outweigh the risk inherent in marketing a product designed in that manner." </w:t>
      </w:r>
      <w:r>
        <w:rPr>
          <w:i/>
          <w:iCs/>
        </w:rPr>
        <w:t>Voss v. Black &amp; Decker Mfg. Co</w:t>
      </w:r>
      <w:r>
        <w:t xml:space="preserve">., 59 N.Y.2d 102, 108 (1983). </w:t>
      </w:r>
    </w:p>
    <w:p w:rsidR="00032A5B" w:rsidRDefault="00032A5B" w:rsidP="00032A5B">
      <w:pPr>
        <w:spacing w:before="120"/>
      </w:pPr>
      <w:r>
        <w:t>As to the harm, McNeil, through its research, knew that this packaging could be violated by a determined tamperer using sophisticated means, and that no evidence of this kind of sophisticated tampering would be visible to the average consumer. As one McNeil official put it, tampering by "the Rembrandt kind of criminals, the guys that are going to this exotic kind of technology," could not be prevented by this kind of packaging.</w:t>
      </w:r>
    </w:p>
    <w:p w:rsidR="00032A5B" w:rsidRDefault="00032A5B" w:rsidP="00032A5B">
      <w:pPr>
        <w:spacing w:before="120"/>
      </w:pPr>
      <w:r>
        <w:t>McNeil was also operating under the constraint, however, as recognized by the FDA when it drafted the 1982 regulations, that no packaging could prevent this kind of "exotic" tampering — "tamper-proof packaging is not possible."  We think this conclusion is a crucial part of the legal calculus to be employed here in determining if a "defect" existed, and we take judicial notice of the FDA's assessment of the state of existing technology.</w:t>
      </w:r>
    </w:p>
    <w:p w:rsidR="00032A5B" w:rsidRDefault="00032A5B" w:rsidP="00032A5B">
      <w:pPr>
        <w:spacing w:before="120"/>
      </w:pPr>
      <w:r>
        <w:t>We begin, therefore, with an isolated risk of determined, sophisticated tampering, but with no reasonable means available to McNeil to ensure that its product would be impervious to that risk.  Balanced against those concerns is the undisputed utility of this product, a non-aspirin pain reliever, as reflected by its prodigious sales.</w:t>
      </w:r>
    </w:p>
    <w:p w:rsidR="00032A5B" w:rsidRDefault="00032A5B" w:rsidP="00032A5B">
      <w:pPr>
        <w:spacing w:before="120"/>
      </w:pPr>
      <w:r>
        <w:t>The packaging alternative ultimately designed by McNeil employed not one, not two, but three of the tamper-resistant features listed as alternatives in the 1982 FDA regulations. Although the FDA noted that use of any one option listed might not by itself constitute compliance for a given product line, we think it beyond cavil that the three combined methods employed by McNeil met the FDA's requirement that the packaging, if breached, "</w:t>
      </w:r>
      <w:r>
        <w:rPr>
          <w:i/>
          <w:iCs/>
        </w:rPr>
        <w:t>can reasonably be expected</w:t>
      </w:r>
      <w:r>
        <w:t xml:space="preserve"> to provide visible evidence to consumers that tampering has occurred."</w:t>
      </w:r>
    </w:p>
    <w:p w:rsidR="00032A5B" w:rsidRDefault="00032A5B" w:rsidP="00032A5B">
      <w:pPr>
        <w:spacing w:before="120"/>
      </w:pPr>
      <w:r>
        <w:t xml:space="preserve">When all of these factors are thrown into the mix, we find, as a matter of law, that under a utility/risk analysis this packaging was in a condition "reasonably contemplated by the ultimate consumer" and was not "unreasonably dangerous for its intended use." . . . </w:t>
      </w:r>
    </w:p>
    <w:p w:rsidR="00032A5B" w:rsidRDefault="00032A5B" w:rsidP="00032A5B">
      <w:pPr>
        <w:spacing w:before="120"/>
      </w:pPr>
      <w:r>
        <w:t>Moreover, plaintiff has presented no evidence of what other steps might feasibly have been taken to ensure a higher degree of safety. . . .  Proof of a safer, feasible design must be part of plaintiff's case in chief at trial, and summary judgment is proper when, after discovery, a party "fails to make a showing sufficient to establish the existence of an element essential to that party's case, and on which that party will bear the burden of proof at trial.”</w:t>
      </w:r>
    </w:p>
    <w:p w:rsidR="00032A5B" w:rsidRDefault="00032A5B" w:rsidP="00032A5B">
      <w:pPr>
        <w:spacing w:before="120"/>
      </w:pPr>
      <w:r>
        <w:t xml:space="preserve">If defendants had simply glued shut the cardboard carton in which the product was contained, we could understand the argument. Those are not the facts, however. A foil seal and shrink seal also were employed.  If there are better tamper-resistant features available that would be feasible for use here, plaintiff has not described them.  . . . </w:t>
      </w:r>
    </w:p>
    <w:p w:rsidR="00032A5B" w:rsidRDefault="00032A5B" w:rsidP="00032A5B">
      <w:pPr>
        <w:spacing w:before="120"/>
      </w:pPr>
      <w:r>
        <w:lastRenderedPageBreak/>
        <w:t>This, it seems to us, reveals plaintiff's packaging claim for what it really is. Although masquerading as a claim for "better protection against tampering," it is, in reality, a claim for tamper-proof packaging.  Unfortunately, no such packaging exists.</w:t>
      </w:r>
    </w:p>
    <w:p w:rsidR="00032A5B" w:rsidRDefault="00032A5B" w:rsidP="00032A5B">
      <w:pPr>
        <w:spacing w:before="120"/>
      </w:pPr>
      <w:r>
        <w:t>For all of these reasons, we reject as a matter of law the contention that the packaging was defective.</w:t>
      </w:r>
    </w:p>
    <w:p w:rsidR="00032A5B" w:rsidRDefault="00032A5B" w:rsidP="00032A5B">
      <w:pPr>
        <w:spacing w:before="120"/>
        <w:rPr>
          <w:i/>
          <w:iCs/>
        </w:rPr>
      </w:pPr>
    </w:p>
    <w:p w:rsidR="00032A5B" w:rsidRDefault="00032A5B" w:rsidP="00032A5B">
      <w:pPr>
        <w:spacing w:before="120"/>
      </w:pPr>
      <w:r>
        <w:rPr>
          <w:i/>
          <w:iCs/>
        </w:rPr>
        <w:t>3. Warning Defect</w:t>
      </w:r>
    </w:p>
    <w:p w:rsidR="00032A5B" w:rsidRDefault="00032A5B" w:rsidP="00032A5B">
      <w:pPr>
        <w:spacing w:before="120"/>
      </w:pPr>
      <w:r>
        <w:t>[omitted]</w:t>
      </w:r>
    </w:p>
    <w:p w:rsidR="00032A5B" w:rsidRDefault="00032A5B" w:rsidP="00032A5B"/>
    <w:p w:rsidR="00032A5B" w:rsidRDefault="00032A5B" w:rsidP="00032A5B">
      <w:pPr>
        <w:rPr>
          <w:b/>
          <w:bCs/>
          <w:i/>
          <w:iCs/>
        </w:rPr>
      </w:pPr>
    </w:p>
    <w:p w:rsidR="00032A5B" w:rsidRDefault="00032A5B" w:rsidP="00032A5B">
      <w:r>
        <w:rPr>
          <w:b/>
          <w:bCs/>
          <w:i/>
          <w:iCs/>
        </w:rPr>
        <w:t>C. Punitive Damages</w:t>
      </w:r>
    </w:p>
    <w:p w:rsidR="00032A5B" w:rsidRDefault="00032A5B" w:rsidP="00032A5B">
      <w:pPr>
        <w:spacing w:before="120"/>
      </w:pPr>
      <w:r>
        <w:t>Plaintiff seeks, in addition to compensatory damages, $92 million in punitive damages. It is patently obvious that the kind of willful or wanton disregard for public safety that must underpin a claim for punitive damages is not present here. Thus, even if it could be said that any of plaintiff's claims could withstand these motions, we hold separately that any claim for punitive damages in this case is dismissed.</w:t>
      </w:r>
    </w:p>
    <w:p w:rsidR="00032A5B" w:rsidRDefault="00032A5B" w:rsidP="00032A5B"/>
    <w:p w:rsidR="00032A5B" w:rsidRDefault="00032A5B" w:rsidP="00032A5B">
      <w:r>
        <w:rPr>
          <w:b/>
          <w:bCs/>
          <w:i/>
          <w:iCs/>
        </w:rPr>
        <w:t>Conclusion</w:t>
      </w:r>
    </w:p>
    <w:p w:rsidR="00032A5B" w:rsidRDefault="00032A5B" w:rsidP="00032A5B">
      <w:pPr>
        <w:spacing w:before="120"/>
      </w:pPr>
      <w:r>
        <w:t>The emotions in this case are strong, making our decision today all the more difficult.  Our task, however, is to serve as a dispassionate arbiter of the law, guided always by the legal principles that are its lifeblood while ever cognizant of the pillars that serve as its foundation: fairness, equity, and justice. An injustice has been done, but we think a second would be perpetrated were we to permit recovery against these defendants for a wrong they did not truly commit.</w:t>
      </w:r>
    </w:p>
    <w:p w:rsidR="00032A5B" w:rsidRDefault="00032A5B" w:rsidP="00032A5B">
      <w:r>
        <w:t>We do not have here a failure by the manufacturer and retailer to stand behind the goods they market; we do not have an accidental injury caused by goods they have placed in the stream of commerce. We instead are presented fundamentally with the proposition that manufacturers and retailers should be held liable in damages, as a cost of doing business, for the criminal conduct of unknown third parties who misuse the manufacturer's product in carrying out the misdeeds because the criminal cannot be held accountable.  Notwithstanding the grievous harm here inflicted, we think such a result is not contemplated by the law, nor is it consonant with sound notions of fairness, equity, and justice.</w:t>
      </w:r>
    </w:p>
    <w:p w:rsidR="00032A5B" w:rsidRDefault="00032A5B" w:rsidP="00032A5B">
      <w:pPr>
        <w:spacing w:before="120"/>
      </w:pPr>
      <w:r>
        <w:t>Defendants' motions for summary judgment are granted, and all claims are dismissed.</w:t>
      </w:r>
    </w:p>
    <w:p w:rsidR="00032A5B" w:rsidRDefault="00032A5B" w:rsidP="00032A5B">
      <w:pPr>
        <w:spacing w:before="120"/>
      </w:pPr>
      <w:r>
        <w:t xml:space="preserve">SO ORDERED.  </w:t>
      </w:r>
    </w:p>
    <w:p w:rsidR="00032A5B" w:rsidRDefault="00032A5B" w:rsidP="00032A5B">
      <w:pPr>
        <w:spacing w:before="120"/>
      </w:pPr>
    </w:p>
    <w:p w:rsidR="00032A5B" w:rsidRDefault="00032A5B" w:rsidP="00032A5B">
      <w:r>
        <w:t xml:space="preserve">Dated: </w:t>
      </w:r>
      <w:smartTag w:uri="urn:schemas-microsoft-com:office:smarttags" w:element="date">
        <w:smartTagPr>
          <w:attr w:name="Month" w:val="11"/>
          <w:attr w:name="Day" w:val="15"/>
          <w:attr w:name="Year" w:val="1988"/>
        </w:smartTagPr>
        <w:r>
          <w:t>November 15, 1988</w:t>
        </w:r>
      </w:smartTag>
      <w:r>
        <w:t>, White Plains, N.Y.</w:t>
      </w:r>
    </w:p>
    <w:p w:rsidR="00032A5B" w:rsidRDefault="00032A5B" w:rsidP="00032A5B">
      <w:pPr>
        <w:spacing w:after="160" w:line="259" w:lineRule="auto"/>
      </w:pPr>
      <w:r>
        <w:br w:type="page"/>
      </w:r>
    </w:p>
    <w:p w:rsidR="00032A5B" w:rsidRDefault="00032A5B" w:rsidP="00032A5B">
      <w:pPr>
        <w:pStyle w:val="Heading7"/>
        <w:numPr>
          <w:ilvl w:val="0"/>
          <w:numId w:val="0"/>
        </w:numPr>
      </w:pPr>
      <w:r>
        <w:lastRenderedPageBreak/>
        <w:t>IV.</w:t>
      </w:r>
      <w:r>
        <w:tab/>
        <w:t>I</w:t>
      </w:r>
      <w:r w:rsidRPr="009D7634">
        <w:t>ntellectual Property</w:t>
      </w:r>
    </w:p>
    <w:p w:rsidR="00032A5B" w:rsidRPr="00BD7720" w:rsidRDefault="00032A5B" w:rsidP="00032A5B">
      <w:pPr>
        <w:jc w:val="center"/>
        <w:rPr>
          <w:sz w:val="24"/>
          <w:szCs w:val="24"/>
        </w:rPr>
      </w:pPr>
      <w:r>
        <w:rPr>
          <w:sz w:val="32"/>
        </w:rPr>
        <w:br w:type="page"/>
      </w:r>
      <w:r>
        <w:lastRenderedPageBreak/>
        <w:t xml:space="preserve">VANNA </w:t>
      </w:r>
      <w:r>
        <w:rPr>
          <w:rStyle w:val="Strong"/>
          <w:b w:val="0"/>
          <w:bCs w:val="0"/>
        </w:rPr>
        <w:t>WHITE,</w:t>
      </w:r>
      <w:r>
        <w:t xml:space="preserve"> Plaintiff-Appellant, v. </w:t>
      </w:r>
      <w:r>
        <w:rPr>
          <w:rStyle w:val="Strong"/>
          <w:b w:val="0"/>
          <w:bCs w:val="0"/>
        </w:rPr>
        <w:t>SAMSUNG</w:t>
      </w:r>
      <w:r>
        <w:t xml:space="preserve"> ELECTRONICS AMERICA, INC., a </w:t>
      </w:r>
      <w:smartTag w:uri="urn:schemas-microsoft-com:office:smarttags" w:element="State">
        <w:r>
          <w:t>New York</w:t>
        </w:r>
      </w:smartTag>
      <w:r>
        <w:t xml:space="preserve"> corporation, and DAVID DEUTSCH ASSOCIATES, INC., a </w:t>
      </w:r>
      <w:smartTag w:uri="urn:schemas-microsoft-com:office:smarttags" w:element="place">
        <w:smartTag w:uri="urn:schemas-microsoft-com:office:smarttags" w:element="State">
          <w:r>
            <w:t>New York</w:t>
          </w:r>
        </w:smartTag>
      </w:smartTag>
      <w:r>
        <w:t xml:space="preserve"> corporation, Defendants-Appellees.</w:t>
      </w:r>
    </w:p>
    <w:p w:rsidR="00032A5B" w:rsidRDefault="00032A5B" w:rsidP="00032A5B">
      <w:pPr>
        <w:ind w:left="64"/>
        <w:jc w:val="center"/>
      </w:pPr>
    </w:p>
    <w:p w:rsidR="00032A5B" w:rsidRDefault="00032A5B" w:rsidP="00032A5B">
      <w:pPr>
        <w:ind w:left="64"/>
      </w:pPr>
    </w:p>
    <w:p w:rsidR="00032A5B" w:rsidRDefault="00032A5B" w:rsidP="00032A5B">
      <w:pPr>
        <w:ind w:left="64"/>
        <w:jc w:val="center"/>
      </w:pPr>
      <w:r>
        <w:t xml:space="preserve">UNITED STATES COURT OF APPEALS FOR THE NINTH CIRCUIT </w:t>
      </w:r>
    </w:p>
    <w:p w:rsidR="00032A5B" w:rsidRDefault="00032A5B" w:rsidP="00032A5B">
      <w:pPr>
        <w:ind w:left="64"/>
      </w:pPr>
    </w:p>
    <w:p w:rsidR="00032A5B" w:rsidRDefault="00032A5B" w:rsidP="00032A5B">
      <w:pPr>
        <w:ind w:left="64"/>
        <w:jc w:val="center"/>
      </w:pPr>
      <w:r>
        <w:t xml:space="preserve">971 F.2d 1395 </w:t>
      </w:r>
    </w:p>
    <w:p w:rsidR="00032A5B" w:rsidRDefault="00032A5B" w:rsidP="00032A5B">
      <w:pPr>
        <w:ind w:left="64"/>
      </w:pPr>
    </w:p>
    <w:p w:rsidR="00032A5B" w:rsidRDefault="00032A5B" w:rsidP="00032A5B">
      <w:pPr>
        <w:ind w:left="64"/>
        <w:jc w:val="center"/>
      </w:pPr>
      <w:r>
        <w:t xml:space="preserve">   </w:t>
      </w:r>
      <w:r>
        <w:br/>
      </w:r>
      <w:smartTag w:uri="urn:schemas-microsoft-com:office:smarttags" w:element="date">
        <w:smartTagPr>
          <w:attr w:name="Month" w:val="6"/>
          <w:attr w:name="Day" w:val="7"/>
          <w:attr w:name="Year" w:val="1991"/>
        </w:smartTagPr>
        <w:r>
          <w:t>June 7, 1991</w:t>
        </w:r>
      </w:smartTag>
      <w:r>
        <w:t xml:space="preserve">, Argued and Submitted, </w:t>
      </w:r>
      <w:smartTag w:uri="urn:schemas-microsoft-com:office:smarttags" w:element="place">
        <w:smartTag w:uri="urn:schemas-microsoft-com:office:smarttags" w:element="City">
          <w:r>
            <w:t>Pasadena</w:t>
          </w:r>
        </w:smartTag>
        <w:r>
          <w:t xml:space="preserve">, </w:t>
        </w:r>
        <w:smartTag w:uri="urn:schemas-microsoft-com:office:smarttags" w:element="State">
          <w:r>
            <w:t>California</w:t>
          </w:r>
        </w:smartTag>
      </w:smartTag>
      <w:r>
        <w:t xml:space="preserve">    </w:t>
      </w:r>
      <w:r>
        <w:br/>
      </w:r>
      <w:smartTag w:uri="urn:schemas-microsoft-com:office:smarttags" w:element="date">
        <w:smartTagPr>
          <w:attr w:name="Month" w:val="8"/>
          <w:attr w:name="Day" w:val="19"/>
          <w:attr w:name="Year" w:val="1992"/>
        </w:smartTagPr>
        <w:r>
          <w:t>August 19, 1992</w:t>
        </w:r>
      </w:smartTag>
      <w:r>
        <w:t xml:space="preserve">, Filed </w:t>
      </w:r>
    </w:p>
    <w:p w:rsidR="00032A5B" w:rsidRDefault="00032A5B" w:rsidP="00032A5B">
      <w:pPr>
        <w:ind w:left="64"/>
      </w:pPr>
      <w:r>
        <w:br/>
        <w:t xml:space="preserve">    </w:t>
      </w:r>
      <w:r>
        <w:br/>
      </w:r>
      <w:r w:rsidRPr="00646085">
        <w:rPr>
          <w:rStyle w:val="Strong"/>
          <w:b w:val="0"/>
        </w:rPr>
        <w:t>OPINION</w:t>
      </w:r>
      <w:r>
        <w:rPr>
          <w:rStyle w:val="Strong"/>
        </w:rPr>
        <w:t xml:space="preserve">:    </w:t>
      </w:r>
      <w:r>
        <w:t xml:space="preserve">GOODWIN, Circuit Judge:  Partial Concurrence, Partial Dissent by Judge Alarcon. </w:t>
      </w:r>
      <w:r>
        <w:br/>
      </w:r>
      <w:r>
        <w:br/>
        <w:t xml:space="preserve">This case involves a promotional "fame and fortune" dispute. In running a particular advertisement without Vanna White's permission, defendants Samsung Electronics America, Inc. (Samsung) and David Deutsch Associates, Inc. (Deutsch) attempted to capitalize on White's fame to enhance their fortune. White sued, alleging infringement of various intellectual property rights, but the district court granted summary judgment in favor of the defendants. We affirm in part, reverse in part, and remand. </w:t>
      </w:r>
      <w:r>
        <w:br/>
      </w:r>
      <w:r>
        <w:br/>
        <w:t xml:space="preserve">Plaintiff Vanna White is  the hostess of "Wheel of Fortune," one of the most popular game shows in television history. An estimated forty million people watch the program daily. Capitalizing on the fame which her participation in the show has bestowed on her, White markets her identity to various advertisers. </w:t>
      </w:r>
      <w:r>
        <w:br/>
      </w:r>
      <w:r>
        <w:br/>
        <w:t>The dispute in this case arose out of a series of advertisements prepared for Samsung by Deutsch. The series ran in at least half a dozen publications with widespread, and in some cases national, circulation. Each of the advertisements in the series followed the same theme. Each depicted a current item from popular culture and a Samsung electronic product. Each was set in the twenty-first century and conveyed the message that the Samsung product would still be in use by that time. By hypothesizing outrageous future outcomes for the cultural items, the ads created humorous effects.  . . . .</w:t>
      </w:r>
    </w:p>
    <w:p w:rsidR="00032A5B" w:rsidRDefault="00032A5B" w:rsidP="00032A5B">
      <w:pPr>
        <w:ind w:left="64"/>
      </w:pPr>
      <w:r>
        <w:t xml:space="preserve"> </w:t>
      </w:r>
      <w:r>
        <w:br/>
        <w:t xml:space="preserve">The advertisement which prompted  the current dispute was for Samsung video-cassette recorders (VCRs). The ad depicted a robot, dressed in a wig, gown, and jewelry which Deutsch consciously selected to resemble White's hair and dress. The robot was posed next to a game board which is instantly recognizable as the Wheel of Fortune game show set, in a stance for which White is famous. The caption of the ad read: "Longest-running game show. 2012 A.D." Defendants referred to the ad as the "Vanna White" ad. Unlike the other celebrities used in the campaign, White neither consented to the ads nor was she paid. </w:t>
      </w:r>
      <w:r>
        <w:br/>
      </w:r>
      <w:r>
        <w:br/>
        <w:t xml:space="preserve">Following the circulation of the robot ad, White sued Samsung and Deutsch in federal district court under: (1) California Civil Code § 3344; (2) the </w:t>
      </w:r>
      <w:smartTag w:uri="urn:schemas-microsoft-com:office:smarttags" w:element="place">
        <w:smartTag w:uri="urn:schemas-microsoft-com:office:smarttags" w:element="State">
          <w:r>
            <w:t>California</w:t>
          </w:r>
        </w:smartTag>
      </w:smartTag>
      <w:r>
        <w:t xml:space="preserve"> common law right of publicity; and (3) § 43(a) of the Lanham Act, 15 U.S.C. § 1125(a).  The district court granted summary judgment against White on each of her claims. White now appeals.  . . . . </w:t>
      </w:r>
      <w:r>
        <w:br/>
        <w:t xml:space="preserve">  </w:t>
      </w:r>
      <w:r>
        <w:br/>
      </w:r>
    </w:p>
    <w:p w:rsidR="00032A5B" w:rsidRDefault="00032A5B" w:rsidP="00032A5B">
      <w:pPr>
        <w:ind w:left="64"/>
      </w:pPr>
      <w:r>
        <w:t xml:space="preserve">II. </w:t>
      </w:r>
      <w:r>
        <w:rPr>
          <w:rStyle w:val="Emphasis"/>
        </w:rPr>
        <w:t>Right of Publicity</w:t>
      </w:r>
      <w:r>
        <w:t xml:space="preserve"> </w:t>
      </w:r>
      <w:r>
        <w:br/>
      </w:r>
      <w:r>
        <w:br/>
        <w:t xml:space="preserve">White next argues that the district court erred in granting summary judgment to defendants on White's common law right of publicity claim. In </w:t>
      </w:r>
      <w:r>
        <w:rPr>
          <w:rStyle w:val="Emphasis"/>
        </w:rPr>
        <w:t>Eastwood v. Superior Court,</w:t>
      </w:r>
      <w:r>
        <w:t xml:space="preserve"> 149 Cal.App.3d 409 (1983), the California court of appeal stated that the common law right of publicity cause of action "may be pleaded by alleging (1) the defendant's use of the plaintiff's identity; (2) the appropriation of plaintiff's name or likeness to defendant's advantage, commercially or otherwise; (3) lack of consent; and (4) resulting injury." . . . .The district court dismissed White's claim for failure to satisfy </w:t>
      </w:r>
      <w:r>
        <w:rPr>
          <w:rStyle w:val="Emphasis"/>
        </w:rPr>
        <w:t>Eastwood</w:t>
      </w:r>
      <w:r>
        <w:t xml:space="preserve">'s second prong, reasoning that defendants had not appropriated White's "name or likeness" with their robot ad. We agree that the robot ad did not make use of White's name or likeness. However, the common law right of publicity is not so confined. </w:t>
      </w:r>
      <w:r>
        <w:br/>
      </w:r>
      <w:r>
        <w:br/>
        <w:t xml:space="preserve">The </w:t>
      </w:r>
      <w:r>
        <w:rPr>
          <w:rStyle w:val="Emphasis"/>
        </w:rPr>
        <w:t>Eastwood</w:t>
      </w:r>
      <w:r>
        <w:t xml:space="preserve"> court did not hold that the right of publicity cause of action could be pleaded only by alleging an appropriation of name or likeness. </w:t>
      </w:r>
      <w:r>
        <w:rPr>
          <w:rStyle w:val="Emphasis"/>
        </w:rPr>
        <w:t>Eastwood</w:t>
      </w:r>
      <w:r>
        <w:t xml:space="preserve"> involved an unauthorized use of photographs of Clint Eastwood and of his </w:t>
      </w:r>
      <w:r>
        <w:lastRenderedPageBreak/>
        <w:t xml:space="preserve">name. Accordingly, the </w:t>
      </w:r>
      <w:r>
        <w:rPr>
          <w:rStyle w:val="Emphasis"/>
        </w:rPr>
        <w:t>Eastwood</w:t>
      </w:r>
      <w:r>
        <w:t xml:space="preserve"> court had no occasion to consider the extent beyond the use of name or likeness to which the right of publicity reaches. . . . .</w:t>
      </w:r>
    </w:p>
    <w:p w:rsidR="00032A5B" w:rsidRDefault="00032A5B" w:rsidP="00032A5B">
      <w:pPr>
        <w:ind w:left="64"/>
      </w:pPr>
      <w:r>
        <w:t xml:space="preserve"> </w:t>
      </w:r>
      <w:r>
        <w:br/>
        <w:t>These cases teach not only that the common law right of publicity reaches means of appropriation other than name or likeness, but that the specific means of appropriation are relevant only for determining whether the defendant has in fact appropriated the plaintiff's identity. The right of publicity does not require that appropriations of identity be accomplished through particular means to be actionable. . . . . Although the defendants in these cases avoided the most obvious means of appropriating the plaintiffs' identities, each of their actions directly implicated the commercial interests which the right of publicity is designed to protect. . . .</w:t>
      </w:r>
    </w:p>
    <w:p w:rsidR="00032A5B" w:rsidRDefault="00032A5B" w:rsidP="00032A5B">
      <w:pPr>
        <w:ind w:left="64"/>
      </w:pPr>
      <w:r>
        <w:t xml:space="preserve"> </w:t>
      </w:r>
      <w:r>
        <w:br/>
        <w:t xml:space="preserve">Indeed, if we treated the means of appropriation as dispositive in our analysis of the right of publicity, we would not only weaken the right but  effectively eviscerate it. The right would fail to protect those plaintiffs most in need of its protection. Advertisers use celebrities to promote their products. The more popular the celebrity, the greater the number of people who recognize her, and the greater the visibility for the product. The identities of the most popular celebrities are not only the most attractive for advertisers, but also the easiest to evoke without resorting to obvious means such as name, likeness, or voice. </w:t>
      </w:r>
      <w:r>
        <w:br/>
      </w:r>
      <w:r>
        <w:br/>
        <w:t xml:space="preserve">Consider a hypothetical advertisement which depicts a mechanical robot with male features, an African-American complexion, and a bald head. The robot is wearing black hightop Air </w:t>
      </w:r>
      <w:smartTag w:uri="urn:schemas-microsoft-com:office:smarttags" w:element="country-region">
        <w:r>
          <w:t>Jordan</w:t>
        </w:r>
      </w:smartTag>
      <w:r>
        <w:t xml:space="preserve"> basketball sneakers, and a red basketball uniform with black trim, baggy shorts, and the number 23 (though not revealing "Bulls" or "</w:t>
      </w:r>
      <w:smartTag w:uri="urn:schemas-microsoft-com:office:smarttags" w:element="place">
        <w:smartTag w:uri="urn:schemas-microsoft-com:office:smarttags" w:element="country-region">
          <w:r>
            <w:t>Jordan</w:t>
          </w:r>
        </w:smartTag>
      </w:smartTag>
      <w:r>
        <w:t xml:space="preserve">" lettering). The ad depicts the robot dunking a basketball one-handed, stiff-armed, legs extended like open scissors, and tongue hanging out. Now envision that this ad is run on television during professional basketball games. Considered individually, the robot's physical attributes, its dress, and its stance tell us little. Taken together, they lead to the only conclusion that any sports viewer who has registered a discernible pulse in the past five years would reach: the ad is about Michael Jordan. </w:t>
      </w:r>
      <w:r>
        <w:br/>
      </w:r>
      <w:r>
        <w:br/>
        <w:t xml:space="preserve">Viewed separately, the individual aspects of the advertisement in the present case say little. Viewed together, they leave little doubt about the celebrity the ad is meant to depict. The female-shaped robot is wearing a long gown, blond wig, and large jewelry. Vanna White dresses exactly like this at times, but so do many other women. The robot is in the process of turning a block letter on a game-board. Vanna White dresses like this while turning letters on a game-board but perhaps similarly attired Scrabble-playing women do this as well. The robot is standing on what looks to be the Wheel of Fortune game show set. Vanna White dresses like this, turns letters, and does this on the Wheel of Fortune game show. She is the only one. Indeed, defendants themselves referred to their ad as the "Vanna White" ad. We are not surprised. </w:t>
      </w:r>
      <w:r>
        <w:br/>
      </w:r>
      <w:r>
        <w:br/>
        <w:t xml:space="preserve">Television and other media create marketable celebrity identity value. Considerable energy and ingenuity are expended by those who have achieved celebrity value to exploit it for profit. The law protects the celebrity's sole right to exploit  this value whether the celebrity has achieved her fame out of rare ability, dumb luck, or a combination thereof. We decline Samsung and Deutch's invitation to permit the evisceration of the common law right of publicity through means as facile as those in this case. Because White has alleged facts showing that Samsung and Deutsch had appropriated her identity, the district court erred by rejecting, on summary judgment, White's common law right of publicity claim. </w:t>
      </w:r>
      <w:r>
        <w:br/>
        <w:t xml:space="preserve">  </w:t>
      </w:r>
      <w:r>
        <w:br/>
        <w:t xml:space="preserve">III. </w:t>
      </w:r>
      <w:r>
        <w:rPr>
          <w:rStyle w:val="Emphasis"/>
        </w:rPr>
        <w:t>The Lanham Act</w:t>
      </w:r>
      <w:r>
        <w:t xml:space="preserve"> </w:t>
      </w:r>
      <w:r>
        <w:br/>
      </w:r>
      <w:r>
        <w:br/>
        <w:t>[discussion deleted]</w:t>
      </w:r>
    </w:p>
    <w:p w:rsidR="00032A5B" w:rsidRDefault="00032A5B" w:rsidP="00032A5B">
      <w:pPr>
        <w:ind w:left="64"/>
      </w:pPr>
    </w:p>
    <w:p w:rsidR="00032A5B" w:rsidRDefault="00032A5B" w:rsidP="00032A5B">
      <w:pPr>
        <w:ind w:left="64"/>
      </w:pPr>
      <w:r>
        <w:t xml:space="preserve">  </w:t>
      </w:r>
      <w:r>
        <w:br/>
        <w:t xml:space="preserve">IV. </w:t>
      </w:r>
      <w:r>
        <w:rPr>
          <w:rStyle w:val="Emphasis"/>
        </w:rPr>
        <w:t>The Parody Defense</w:t>
      </w:r>
      <w:r>
        <w:t xml:space="preserve"> </w:t>
      </w:r>
      <w:r>
        <w:br/>
      </w:r>
      <w:r>
        <w:br/>
        <w:t xml:space="preserve">In defense, defendants cite a number of cases for the proposition that their robot ad constituted protected speech. The only cases they cite which are even remotely relevant to this case are </w:t>
      </w:r>
      <w:r>
        <w:rPr>
          <w:rStyle w:val="Emphasis"/>
        </w:rPr>
        <w:t xml:space="preserve">Hustler Magazine v. Falwell </w:t>
      </w:r>
      <w:r>
        <w:t xml:space="preserve"> and </w:t>
      </w:r>
      <w:r>
        <w:rPr>
          <w:rStyle w:val="Emphasis"/>
        </w:rPr>
        <w:t>L.L. Bean, Inc. v. Drake Publishers, Inc</w:t>
      </w:r>
      <w:r>
        <w:t>.  Those cases involved parodies of advertisements run for the purpose of poking fun at Jerry Falwell and L.L. Bean, respectively. This case involves a true advertisement run for the purpose of selling Samsung VCRs. The ad's spoof of Vanna White and Wheel of Fortune is subservient and only tangentially related to the ad's primary message: "buy Samsung VCRs." Defendants' parody arguments are better addressed to non-commercial parodies. The difference between a "parody" and a "knock-off" is the difference between fun and profit. . . .</w:t>
      </w:r>
      <w:r>
        <w:br/>
      </w:r>
    </w:p>
    <w:p w:rsidR="00032A5B" w:rsidRDefault="00032A5B" w:rsidP="00032A5B">
      <w:pPr>
        <w:ind w:left="64"/>
      </w:pPr>
      <w:r>
        <w:lastRenderedPageBreak/>
        <w:t xml:space="preserve">First, for celebrity exploitation advertising to be effective, the advertisement must evoke the celebrity's identity. The more effective the evocation, the better the advertisement. If, as Samsung claims, its ad was based on a "generic" game-show hostess and not on Vanna White, the ad would not have violated anyone's right of publicity, but it would also not have been as humorous or as effective. </w:t>
      </w:r>
      <w:r>
        <w:br/>
      </w:r>
      <w:r>
        <w:br/>
        <w:t xml:space="preserve">Second, even if some forms of expressive activity, such as parody, do rely on identity evocation, the first amendment hurdle will bar most right of publicity actions against those activities. . . .  Realizing this, Samsung attempts to elevate its ad above the status of garden-variety commercial speech by pointing to the ad's parody of Vanna White. Samsung's argument is unavailing. </w:t>
      </w:r>
    </w:p>
    <w:p w:rsidR="00032A5B" w:rsidRDefault="00032A5B" w:rsidP="00032A5B">
      <w:pPr>
        <w:ind w:left="64"/>
      </w:pPr>
    </w:p>
    <w:p w:rsidR="00032A5B" w:rsidRDefault="00032A5B" w:rsidP="00032A5B">
      <w:r>
        <w:t xml:space="preserve">V. </w:t>
      </w:r>
      <w:r>
        <w:rPr>
          <w:rStyle w:val="Emphasis"/>
        </w:rPr>
        <w:t>Conclusion</w:t>
      </w:r>
      <w:r>
        <w:t xml:space="preserve"> </w:t>
      </w:r>
      <w:r>
        <w:br/>
      </w:r>
      <w:r>
        <w:br/>
        <w:t xml:space="preserve">In remanding this case, we hold only that White has pleaded claims which can go to the jury for its decision. </w:t>
      </w:r>
      <w:r>
        <w:br/>
        <w:t xml:space="preserve">  </w:t>
      </w:r>
      <w:r>
        <w:br/>
      </w:r>
      <w:r>
        <w:rPr>
          <w:rStyle w:val="Emphasis"/>
        </w:rPr>
        <w:t>AFFIRMED IN PART, REVERSED IN PART, and REMANDED.</w:t>
      </w:r>
      <w:r>
        <w:t xml:space="preserve"> </w:t>
      </w:r>
      <w:r>
        <w:br/>
      </w:r>
      <w:r>
        <w:br/>
        <w:t xml:space="preserve">ORDER </w:t>
      </w:r>
      <w:r>
        <w:br/>
      </w:r>
      <w:r>
        <w:br/>
        <w:t xml:space="preserve"> </w:t>
      </w:r>
      <w:r>
        <w:br/>
      </w:r>
      <w:r w:rsidRPr="00646085">
        <w:rPr>
          <w:rStyle w:val="Strong"/>
          <w:b w:val="0"/>
        </w:rPr>
        <w:t>CONCUR BY:</w:t>
      </w:r>
      <w:r>
        <w:t xml:space="preserve"> ALARCON (In Part) </w:t>
      </w:r>
      <w:r>
        <w:br/>
      </w:r>
      <w:r>
        <w:br/>
      </w:r>
      <w:r w:rsidRPr="00646085">
        <w:rPr>
          <w:rStyle w:val="Strong"/>
          <w:b w:val="0"/>
        </w:rPr>
        <w:t>DISSENT:</w:t>
      </w:r>
      <w:r>
        <w:t xml:space="preserve"> ALARCON, Circuit Judge, concurring in part, dissenting in part: </w:t>
      </w:r>
      <w:r>
        <w:br/>
      </w:r>
      <w:r>
        <w:br/>
        <w:t xml:space="preserve">. . . . The protection of intellectual property presents the courts with the necessity of balancing competing interests. On the one hand, we wish to protect and reward the work and investment of those who create intellectual property. In so doing, however, we must prevent the creation of a monopoly that would inhibit the creative expressions of others. We have traditionally balanced those interests by allowing the copying of an idea, but protecting a unique expression of it. Samsung clearly used the idea of a glamorous female game show hostess. Just as clearly, it avoided appropriating Vanna White's expression of that role. Samsung did not use a likeness of her. The performer depicted in the commercial advertisement is unmistakably a lifeless robot. Vanna White has presented no evidence that any consumer confused the robot with her identity. Indeed, no reasonable consumer could confuse the robot with Vanna White or believe that, because the robot appeared in the advertisement, Vanna White endorsed Samsung's product. </w:t>
      </w:r>
      <w:r>
        <w:br/>
      </w:r>
      <w:r>
        <w:br/>
        <w:t>I would affirm the district court's judgment in all respects.</w:t>
      </w:r>
    </w:p>
    <w:p w:rsidR="00032A5B" w:rsidRDefault="00032A5B" w:rsidP="00032A5B">
      <w:pPr>
        <w:jc w:val="center"/>
      </w:pPr>
      <w:r>
        <w:br w:type="page"/>
      </w:r>
      <w:r>
        <w:lastRenderedPageBreak/>
        <w:t>COMEDY III PRODUCTIONS, INC., Plaintiff and Respondent, v. GARY SADERUP, INC., et al., Defendants and Appellants.</w:t>
      </w:r>
    </w:p>
    <w:p w:rsidR="00032A5B" w:rsidRDefault="00032A5B" w:rsidP="00032A5B">
      <w:pPr>
        <w:jc w:val="center"/>
      </w:pPr>
    </w:p>
    <w:p w:rsidR="00032A5B" w:rsidRDefault="00032A5B" w:rsidP="00032A5B">
      <w:pPr>
        <w:jc w:val="center"/>
      </w:pPr>
      <w:r>
        <w:t xml:space="preserve">SUPREME COURT OF </w:t>
      </w:r>
      <w:smartTag w:uri="urn:schemas-microsoft-com:office:smarttags" w:element="place">
        <w:smartTag w:uri="urn:schemas-microsoft-com:office:smarttags" w:element="State">
          <w:r>
            <w:t>CALIFORNIA</w:t>
          </w:r>
        </w:smartTag>
      </w:smartTag>
    </w:p>
    <w:p w:rsidR="00032A5B" w:rsidRDefault="00032A5B" w:rsidP="00032A5B">
      <w:pPr>
        <w:jc w:val="center"/>
      </w:pPr>
    </w:p>
    <w:p w:rsidR="00032A5B" w:rsidRDefault="00032A5B" w:rsidP="00032A5B">
      <w:pPr>
        <w:jc w:val="center"/>
      </w:pPr>
      <w:r>
        <w:t xml:space="preserve">25 </w:t>
      </w:r>
      <w:smartTag w:uri="urn:schemas-microsoft-com:office:smarttags" w:element="place">
        <w:smartTag w:uri="urn:schemas-microsoft-com:office:smarttags" w:element="State">
          <w:r>
            <w:t>Cal.</w:t>
          </w:r>
        </w:smartTag>
      </w:smartTag>
      <w:r>
        <w:t xml:space="preserve"> 4th 387; 21 P.3d 797</w:t>
      </w:r>
    </w:p>
    <w:p w:rsidR="00032A5B" w:rsidRDefault="00032A5B" w:rsidP="00032A5B">
      <w:pPr>
        <w:jc w:val="center"/>
      </w:pPr>
    </w:p>
    <w:p w:rsidR="00032A5B" w:rsidRDefault="00032A5B" w:rsidP="00032A5B">
      <w:pPr>
        <w:jc w:val="center"/>
      </w:pPr>
      <w:smartTag w:uri="urn:schemas-microsoft-com:office:smarttags" w:element="date">
        <w:smartTagPr>
          <w:attr w:name="Month" w:val="4"/>
          <w:attr w:name="Day" w:val="30"/>
          <w:attr w:name="Year" w:val="2001"/>
        </w:smartTagPr>
        <w:r>
          <w:t>April 30, 2001</w:t>
        </w:r>
      </w:smartTag>
      <w:r>
        <w:t>, Filed</w:t>
      </w:r>
    </w:p>
    <w:p w:rsidR="00032A5B" w:rsidRDefault="00032A5B" w:rsidP="00032A5B"/>
    <w:p w:rsidR="00032A5B" w:rsidRDefault="00032A5B" w:rsidP="00032A5B"/>
    <w:p w:rsidR="00032A5B" w:rsidRDefault="00032A5B" w:rsidP="00032A5B"/>
    <w:p w:rsidR="00032A5B" w:rsidRDefault="00032A5B" w:rsidP="00032A5B"/>
    <w:p w:rsidR="00032A5B" w:rsidRDefault="00032A5B" w:rsidP="00032A5B">
      <w:r>
        <w:t>Judges:  George, C. J., Kennard, J., Baxter, J., Werdegar, J., Chin, J., Brown, J., Mosk, J.</w:t>
      </w:r>
    </w:p>
    <w:p w:rsidR="00032A5B" w:rsidRDefault="00032A5B" w:rsidP="00032A5B">
      <w:r>
        <w:t>Opinion by:  Mosk</w:t>
      </w:r>
    </w:p>
    <w:p w:rsidR="00032A5B" w:rsidRDefault="00032A5B" w:rsidP="00032A5B"/>
    <w:p w:rsidR="00032A5B" w:rsidRDefault="00032A5B" w:rsidP="00032A5B">
      <w:pPr>
        <w:jc w:val="both"/>
      </w:pPr>
      <w:r>
        <w:t xml:space="preserve">A </w:t>
      </w:r>
      <w:smartTag w:uri="urn:schemas-microsoft-com:office:smarttags" w:element="place">
        <w:smartTag w:uri="urn:schemas-microsoft-com:office:smarttags" w:element="State">
          <w:r>
            <w:t>California</w:t>
          </w:r>
        </w:smartTag>
      </w:smartTag>
      <w:r>
        <w:t xml:space="preserve"> statute grants the right of publicity to specified successors in interest of deceased celebrities, prohibiting any other person from using a celebrity's name, voice, signature, photograph, or likeness for commercial purposes without the  consent of such successors.   The United States Constitution prohibits the states from abridging, among other fundamental rights, freedom of speech. (</w:t>
      </w:r>
      <w:smartTag w:uri="urn:schemas-microsoft-com:office:smarttags" w:element="place">
        <w:smartTag w:uri="urn:schemas-microsoft-com:office:smarttags" w:element="country-region">
          <w:r>
            <w:t>U.S.</w:t>
          </w:r>
        </w:smartTag>
      </w:smartTag>
      <w:r>
        <w:t xml:space="preserve"> Const., 1st and 14th Amends.)  In the case at bar we resolve a conflict between these two provisions.  The Court of Appeal concluded that the lithographs and silkscreened T-shirts in question here received no First Amendment protection simply because they were reproductions rather than original works of art.  As will appear, this was error: reproductions are equally entitled to First Amendment protection.  We formulate instead what is essentially a balancing test between the First Amendment and the right of publicity based on whether the work in question adds significant creative elements so as to be transformed into something more than a mere celebrity likeness or imitation.  Applying this test to the present case, we conclude that there are no such creative elements here and that the right of publicity prevails.  On this basis, we will affirm the judgment of the Court of Appeal. </w:t>
      </w:r>
    </w:p>
    <w:p w:rsidR="00032A5B" w:rsidRDefault="00032A5B" w:rsidP="00032A5B">
      <w:pPr>
        <w:jc w:val="both"/>
      </w:pPr>
    </w:p>
    <w:p w:rsidR="00032A5B" w:rsidRDefault="00032A5B" w:rsidP="00032A5B">
      <w:pPr>
        <w:jc w:val="both"/>
      </w:pPr>
    </w:p>
    <w:p w:rsidR="00032A5B" w:rsidRDefault="00032A5B" w:rsidP="00032A5B">
      <w:pPr>
        <w:jc w:val="both"/>
      </w:pPr>
      <w:r>
        <w:t xml:space="preserve"> I. The Statute </w:t>
      </w:r>
    </w:p>
    <w:p w:rsidR="00032A5B" w:rsidRDefault="00032A5B" w:rsidP="00032A5B">
      <w:pPr>
        <w:jc w:val="both"/>
      </w:pPr>
      <w:r>
        <w:t xml:space="preserve">   </w:t>
      </w:r>
    </w:p>
    <w:p w:rsidR="00032A5B" w:rsidRDefault="00032A5B" w:rsidP="00032A5B">
      <w:pPr>
        <w:jc w:val="both"/>
      </w:pPr>
      <w:r>
        <w:t xml:space="preserve"> In this state the right of publicity is both a statutory and a common law right. The statutory right originated in Civil Code section 3344 (hereafter section 3344), enacted in 1971, authorizing recovery of damages by any living person whose name, photograph, or likeness has been used for commercial purposes without his or her consent.  Eight years later, we also recognized a common law right of publicity, which the statute was said to complement.  But because the common law right was derived from the law of privacy, we held that the cause of action did not survive the death of the person whose identity was exploited and was not descendible to his or her heirs or assignees. </w:t>
      </w:r>
    </w:p>
    <w:p w:rsidR="00032A5B" w:rsidRDefault="00032A5B" w:rsidP="00032A5B">
      <w:pPr>
        <w:jc w:val="both"/>
      </w:pPr>
    </w:p>
    <w:p w:rsidR="00032A5B" w:rsidRDefault="00032A5B" w:rsidP="00032A5B">
      <w:pPr>
        <w:jc w:val="both"/>
      </w:pPr>
      <w:r>
        <w:t xml:space="preserve">In 1984 the Legislature enacted an additional measure on the subject, creating a second statutory right of publicity that was descendible to the heirs and assignees of deceased persons.  The statute was evidently modeled on section 3344: many of the key provisions of the two statutory schemes were identical.  The 1984 measure is the statute in issue in the case at bar.  At the time of trial and while the appeal was pending before the Court of Appeal, the statute was numbered section 990 of the Civil Code. </w:t>
      </w:r>
    </w:p>
    <w:p w:rsidR="00032A5B" w:rsidRDefault="00032A5B" w:rsidP="00032A5B">
      <w:pPr>
        <w:jc w:val="both"/>
      </w:pPr>
    </w:p>
    <w:p w:rsidR="00032A5B" w:rsidRDefault="00032A5B" w:rsidP="00032A5B">
      <w:pPr>
        <w:jc w:val="both"/>
      </w:pPr>
      <w:r>
        <w:t xml:space="preserve">Section 990 declares broadly that "Any person who uses a deceased personality's name, voice, signature, photograph, or likeness, in any manner, on or in products, merchandise, or goods, or for purposes of advertising or selling, or soliciting purchases of, products, merchandise, goods, or services, without prior consent from the person or persons specified in subdivision (c), shall be liable for any damages sustained by the person or persons injured as a result thereof."  The amount recoverable includes "any profits from the unauthorized use," as well as punitive damages, attorney's fees, and costs. </w:t>
      </w:r>
    </w:p>
    <w:p w:rsidR="00032A5B" w:rsidRDefault="00032A5B" w:rsidP="00032A5B">
      <w:pPr>
        <w:jc w:val="both"/>
      </w:pPr>
    </w:p>
    <w:p w:rsidR="00032A5B" w:rsidRDefault="00032A5B" w:rsidP="00032A5B">
      <w:pPr>
        <w:jc w:val="both"/>
      </w:pPr>
      <w:r>
        <w:t>The statute defines "deceased personality" as a person "whose name, voice, signature, photograph, or likeness has commercial value at the time of his or her death," whether or not the person actually used any of those features for commercial purposes while alive. . . . The statute further declares that "The rights recognized under this section are property rights" that are transferable before or after the personality dies, by contract or by trust or will.  Consent to use the deceased personality's name, voice, photograph, etc., must be obtained from such a transferee or, if there is none, from certain described survivors of the personality. . . The right to require consent under the statute terminates if there is neither transferee nor survivor.  [Under the new statute, this period has increased to 70 years.]</w:t>
      </w:r>
    </w:p>
    <w:p w:rsidR="00032A5B" w:rsidRDefault="00032A5B" w:rsidP="00032A5B">
      <w:pPr>
        <w:jc w:val="both"/>
      </w:pPr>
    </w:p>
    <w:p w:rsidR="00032A5B" w:rsidRDefault="00032A5B" w:rsidP="00032A5B">
      <w:pPr>
        <w:jc w:val="both"/>
      </w:pPr>
      <w:r>
        <w:t xml:space="preserve">The statute provides a number of exemptions from the requirement of consent to use.  Thus a use "in connection with any news, public affairs, or sports broadcast or account, or any political campaign" does not require consent.  . . </w:t>
      </w:r>
    </w:p>
    <w:p w:rsidR="00032A5B" w:rsidRDefault="00032A5B" w:rsidP="00032A5B">
      <w:pPr>
        <w:jc w:val="both"/>
      </w:pPr>
    </w:p>
    <w:p w:rsidR="00032A5B" w:rsidRDefault="00032A5B" w:rsidP="00032A5B">
      <w:pPr>
        <w:jc w:val="both"/>
      </w:pPr>
    </w:p>
    <w:p w:rsidR="00032A5B" w:rsidRDefault="00032A5B" w:rsidP="00032A5B">
      <w:pPr>
        <w:jc w:val="both"/>
      </w:pPr>
      <w:r>
        <w:t xml:space="preserve">II. Facts </w:t>
      </w:r>
    </w:p>
    <w:p w:rsidR="00032A5B" w:rsidRDefault="00032A5B" w:rsidP="00032A5B">
      <w:pPr>
        <w:jc w:val="both"/>
      </w:pPr>
      <w:r>
        <w:t xml:space="preserve">   </w:t>
      </w:r>
    </w:p>
    <w:p w:rsidR="00032A5B" w:rsidRDefault="00032A5B" w:rsidP="00032A5B">
      <w:pPr>
        <w:jc w:val="both"/>
      </w:pPr>
      <w:r>
        <w:t>Plaintiff Comedy III Productions, Inc. (hereafter Comedy III), brought this action against defendants Gary Saderup and Gary Saderup, Inc. (hereafter collectively Saderup), seeking damages and injunctive relief for violation of section 990 and related business torts.   The parties waived the right to jury trial and the right to put on evidence, and submitted the case for decision on the following stipulated facts:</w:t>
      </w:r>
    </w:p>
    <w:p w:rsidR="00032A5B" w:rsidRDefault="00032A5B" w:rsidP="00032A5B">
      <w:pPr>
        <w:jc w:val="both"/>
      </w:pPr>
    </w:p>
    <w:p w:rsidR="00032A5B" w:rsidRDefault="00032A5B" w:rsidP="00032A5B">
      <w:pPr>
        <w:jc w:val="both"/>
      </w:pPr>
      <w:r>
        <w:t xml:space="preserve">Comedy III is the registered owner of all rights to the former comedy act known as The Three Stooges, who are deceased personalities within the meaning of the statute.   Saderup is an artist with over 25 years' experience in making charcoal drawings of celebrities. These drawings are used to create lithographic and silkscreen masters, which in turn are used to produce multiple reproductions in the form, respectively, of lithographic prints and silkscreened images on T-shirts.  . . </w:t>
      </w:r>
    </w:p>
    <w:p w:rsidR="00032A5B" w:rsidRDefault="00032A5B" w:rsidP="00032A5B">
      <w:pPr>
        <w:jc w:val="both"/>
      </w:pPr>
    </w:p>
    <w:p w:rsidR="00032A5B" w:rsidRDefault="00032A5B" w:rsidP="00032A5B">
      <w:pPr>
        <w:jc w:val="both"/>
      </w:pPr>
      <w:r>
        <w:t xml:space="preserve">Without securing Comedy III's consent, Saderup sold lithographs and T-shirts bearing a likeness of The Three Stooges reproduced from a charcoal drawing he had made. . . . Saderup's profits from the sale of unlicensed lithographs and T-shirts bearing a likeness of The Three Stooges was $75,000 and Comedy III's reasonable attorney fees were $150,000. </w:t>
      </w:r>
    </w:p>
    <w:p w:rsidR="00032A5B" w:rsidRDefault="00032A5B" w:rsidP="00032A5B">
      <w:pPr>
        <w:jc w:val="both"/>
      </w:pPr>
    </w:p>
    <w:p w:rsidR="00032A5B" w:rsidRDefault="00032A5B" w:rsidP="00032A5B">
      <w:pPr>
        <w:jc w:val="both"/>
      </w:pPr>
      <w:r>
        <w:t xml:space="preserve">On these stipulated facts the court found for Comedy III and entered judgment against Saderup awarding damages of $75,000 and attorney's fees of  $150,000 plus costs.  The court also issued a permanent injunction restraining Saderup from violating the statute by use of any likeness of The Three Stooges . . .  . </w:t>
      </w:r>
    </w:p>
    <w:p w:rsidR="00032A5B" w:rsidRDefault="00032A5B" w:rsidP="00032A5B">
      <w:pPr>
        <w:jc w:val="both"/>
      </w:pPr>
      <w:r>
        <w:t xml:space="preserve"> </w:t>
      </w:r>
    </w:p>
    <w:p w:rsidR="00032A5B" w:rsidRDefault="00032A5B" w:rsidP="00032A5B">
      <w:pPr>
        <w:jc w:val="both"/>
      </w:pPr>
      <w:r>
        <w:t>Saderup appealed.  The Court of Appeal modified the judgment by striking the injunction.  The court reasoned that Comedy III had not proved a likelihood of continued violation of the statute, and that the wording of the injunction was overbroad because it exceeded the terms of the statute and because it "could extend to matters and conduct protected by the First Amendment . . . ."</w:t>
      </w:r>
    </w:p>
    <w:p w:rsidR="00032A5B" w:rsidRDefault="00032A5B" w:rsidP="00032A5B">
      <w:pPr>
        <w:jc w:val="both"/>
      </w:pPr>
    </w:p>
    <w:p w:rsidR="00032A5B" w:rsidRDefault="00032A5B" w:rsidP="00032A5B">
      <w:pPr>
        <w:jc w:val="both"/>
      </w:pPr>
      <w:r>
        <w:t xml:space="preserve">We granted review  . . </w:t>
      </w:r>
    </w:p>
    <w:p w:rsidR="00032A5B" w:rsidRDefault="00032A5B" w:rsidP="00032A5B">
      <w:pPr>
        <w:jc w:val="both"/>
      </w:pPr>
    </w:p>
    <w:p w:rsidR="00032A5B" w:rsidRDefault="00032A5B" w:rsidP="00032A5B">
      <w:pPr>
        <w:jc w:val="both"/>
      </w:pPr>
    </w:p>
    <w:p w:rsidR="00032A5B" w:rsidRDefault="00032A5B" w:rsidP="00032A5B">
      <w:pPr>
        <w:jc w:val="both"/>
      </w:pPr>
      <w:r>
        <w:t xml:space="preserve">III. Discussion </w:t>
      </w:r>
    </w:p>
    <w:p w:rsidR="00032A5B" w:rsidRDefault="00032A5B" w:rsidP="00032A5B">
      <w:pPr>
        <w:jc w:val="both"/>
      </w:pPr>
      <w:r>
        <w:t xml:space="preserve">  </w:t>
      </w:r>
    </w:p>
    <w:p w:rsidR="00032A5B" w:rsidRDefault="00032A5B" w:rsidP="00032A5B">
      <w:pPr>
        <w:jc w:val="both"/>
      </w:pPr>
      <w:r>
        <w:t xml:space="preserve">A. The Statutory Issue </w:t>
      </w:r>
    </w:p>
    <w:p w:rsidR="00032A5B" w:rsidRDefault="00032A5B" w:rsidP="00032A5B">
      <w:pPr>
        <w:jc w:val="both"/>
      </w:pPr>
      <w:r>
        <w:t xml:space="preserve">   </w:t>
      </w:r>
    </w:p>
    <w:p w:rsidR="00032A5B" w:rsidRDefault="00032A5B" w:rsidP="00032A5B">
      <w:pPr>
        <w:jc w:val="both"/>
      </w:pPr>
      <w:r>
        <w:t>Saderup contends the statute applies only to uses of a deceased personality's name, voice, photograph, etc., for the purpose of advertising, selling, or soliciting the purchase of, products or services.  He then stresses the stipulated fact that the lithographs and T-shirts at issue in this case did not constitute an advertisement, endorsement, or sponsorship of any product.  He concludes the statute therefore does not apply in the case at bar.  As will appear, the major premise of his argument</w:t>
      </w:r>
      <w:r>
        <w:sym w:font="Symbol" w:char="F0BE"/>
      </w:r>
      <w:r>
        <w:t>his construction of the statute</w:t>
      </w:r>
      <w:r>
        <w:sym w:font="Symbol" w:char="F0BE"/>
      </w:r>
      <w:r>
        <w:t xml:space="preserve">is unpersuasive. </w:t>
      </w:r>
    </w:p>
    <w:p w:rsidR="00032A5B" w:rsidRDefault="00032A5B" w:rsidP="00032A5B">
      <w:pPr>
        <w:jc w:val="both"/>
      </w:pPr>
    </w:p>
    <w:p w:rsidR="00032A5B" w:rsidRDefault="00032A5B" w:rsidP="00032A5B">
      <w:pPr>
        <w:jc w:val="both"/>
      </w:pPr>
      <w:r>
        <w:t xml:space="preserve">As noted above, the statute makes liable any person who, without consent, uses a deceased personality's name, voice, photograph, etc., "in any manner, on or in products, merchandise, or goods, or for purposes of advertising or selling, or soliciting purchases of, products, merchandise, goods, or services . . . ."  Saderup's construction reads the emphasized phrase out of the statute. </w:t>
      </w:r>
    </w:p>
    <w:p w:rsidR="00032A5B" w:rsidRDefault="00032A5B" w:rsidP="00032A5B">
      <w:pPr>
        <w:jc w:val="both"/>
      </w:pPr>
    </w:p>
    <w:p w:rsidR="00032A5B" w:rsidRDefault="00032A5B" w:rsidP="00032A5B">
      <w:pPr>
        <w:jc w:val="both"/>
      </w:pPr>
      <w:r>
        <w:t xml:space="preserve">We therefore give effect to the plain meaning of the statute: it makes liable any person who, without consent, uses a deceased personality's name, voice, photograph, etc., either (1) "on or in" a product, or (2) in "advertising or selling" a product.  The two uses are not synonymous: in the apt example given by the Court of Appeal, there is an obvious difference between "placing a celebrity's name on a 'special edition' of a vehicle, and using that name in a commercial to endorse or tout the same or another vehicle." </w:t>
      </w:r>
    </w:p>
    <w:p w:rsidR="00032A5B" w:rsidRDefault="00032A5B" w:rsidP="00032A5B">
      <w:pPr>
        <w:jc w:val="both"/>
      </w:pPr>
    </w:p>
    <w:p w:rsidR="00032A5B" w:rsidRDefault="00032A5B" w:rsidP="00032A5B">
      <w:pPr>
        <w:jc w:val="both"/>
      </w:pPr>
      <w:r>
        <w:t xml:space="preserve">Applying this construction of the statute to the facts at hand, we agree with the Court of Appeal that Saderup sold more than just the incorporeal likeness of The Three Stooges. Saderup's lithographic prints of The Three Stooges are themselves tangible </w:t>
      </w:r>
      <w:r>
        <w:lastRenderedPageBreak/>
        <w:t>personal property, consisting of paper and ink, made as products to be sold and displayed on walls like similar graphic art. Saderup's T-shirts are likewise tangible personal property, consisting of fabric and ink, made as products to be sold and worn on the body like similar garments.  By producing and selling such lithographs and T-shirts, Saderup thus used the likeness of The Three Stooges "on . . . products, merchandise, or goods" within the meaning of the statute. . . .</w:t>
      </w:r>
    </w:p>
    <w:p w:rsidR="00032A5B" w:rsidRDefault="00032A5B" w:rsidP="00032A5B">
      <w:pPr>
        <w:jc w:val="both"/>
      </w:pPr>
    </w:p>
    <w:p w:rsidR="00032A5B" w:rsidRDefault="00032A5B" w:rsidP="00032A5B">
      <w:pPr>
        <w:jc w:val="both"/>
      </w:pPr>
    </w:p>
    <w:p w:rsidR="00032A5B" w:rsidRDefault="00032A5B" w:rsidP="00032A5B">
      <w:pPr>
        <w:jc w:val="both"/>
      </w:pPr>
      <w:r>
        <w:t xml:space="preserve">B. The Constitutional Issue </w:t>
      </w:r>
    </w:p>
    <w:p w:rsidR="00032A5B" w:rsidRDefault="00032A5B" w:rsidP="00032A5B">
      <w:pPr>
        <w:jc w:val="both"/>
      </w:pPr>
      <w:r>
        <w:t xml:space="preserve">   </w:t>
      </w:r>
    </w:p>
    <w:p w:rsidR="00032A5B" w:rsidRDefault="00032A5B" w:rsidP="00032A5B">
      <w:pPr>
        <w:jc w:val="both"/>
      </w:pPr>
      <w:r>
        <w:t xml:space="preserve">Saderup next contends that enforcement of the judgment against him violates his right of free speech and expression under the First Amendment. He raises a difficult issue, which we address below. </w:t>
      </w:r>
    </w:p>
    <w:p w:rsidR="00032A5B" w:rsidRDefault="00032A5B" w:rsidP="00032A5B">
      <w:pPr>
        <w:jc w:val="both"/>
      </w:pPr>
    </w:p>
    <w:p w:rsidR="00032A5B" w:rsidRDefault="00032A5B" w:rsidP="00032A5B">
      <w:pPr>
        <w:jc w:val="both"/>
      </w:pPr>
      <w:r>
        <w:t xml:space="preserve">The right of publicity is often invoked in the context of commercial speech when the appropriation of a celebrity likeness creates a false and misleading impression that the celebrity is endorsing a product. Because the First Amendment does not protect false and misleading commercial speech, and because even nonmisleading commercial speech is generally subject to somewhat lesser First Amendment protection, the right of publicity may often trump the right of advertisers to make use of celebrity figures. </w:t>
      </w:r>
    </w:p>
    <w:p w:rsidR="00032A5B" w:rsidRDefault="00032A5B" w:rsidP="00032A5B">
      <w:pPr>
        <w:jc w:val="both"/>
      </w:pPr>
    </w:p>
    <w:p w:rsidR="00032A5B" w:rsidRDefault="00032A5B" w:rsidP="00032A5B">
      <w:pPr>
        <w:jc w:val="both"/>
      </w:pPr>
      <w:r>
        <w:t xml:space="preserve">But the present case does not concern commercial speech. As the trial court found, Saderup's portraits of The Three Stooges are expressive works and not an advertisement for or endorsement of a product. Although his work was done for financial gain, "the First Amendment is not limited to those who publish without charge. . . . [An expressive activity] does not lose its constitutional protection because it is undertaken for profit." </w:t>
      </w:r>
    </w:p>
    <w:p w:rsidR="00032A5B" w:rsidRDefault="00032A5B" w:rsidP="00032A5B">
      <w:pPr>
        <w:jc w:val="both"/>
      </w:pPr>
    </w:p>
    <w:p w:rsidR="00032A5B" w:rsidRDefault="00032A5B" w:rsidP="00032A5B">
      <w:pPr>
        <w:jc w:val="both"/>
      </w:pPr>
      <w:r>
        <w:t>The tension between the right of publicity and the First Amendment is highlighted by recalling the two distinct, commonly acknowledged purposes of the latter. First, "'to preserve an uninhibited marketplace of ideas' and to repel efforts to limit the '"uninhibited, robust and wide-open" debate on public issues.'" Second, to foster a "fundamental respect for individual development and self-realization. The right to self-expression is inherent in any political system which respects individual dignity. Each speaker must be free of government restraint regardless of the nature or manner of the views expressed unless there is a compelling reason to the contrary." . . . .</w:t>
      </w:r>
    </w:p>
    <w:p w:rsidR="00032A5B" w:rsidRDefault="00032A5B" w:rsidP="00032A5B">
      <w:pPr>
        <w:jc w:val="both"/>
      </w:pPr>
    </w:p>
    <w:p w:rsidR="00032A5B" w:rsidRDefault="00032A5B" w:rsidP="00032A5B">
      <w:pPr>
        <w:jc w:val="both"/>
      </w:pPr>
      <w:r>
        <w:t xml:space="preserve">For similar reasons, speech about public figures is accorded heightened First Amendment protection in defamation law.  As the United States Supreme Court held . . ., public figures may prevail in a libel action only if they prove that the defendant's defamatory statements were made with actual malice, i.e., actual knowledge of falsehood or reckless disregard for the truth, whereas private figures need prove only negligence.  </w:t>
      </w:r>
      <w:r>
        <w:rPr>
          <w:i/>
          <w:iCs/>
        </w:rPr>
        <w:t>New York Times v. Sullivan</w:t>
      </w:r>
      <w:r>
        <w:t xml:space="preserve">, 376 </w:t>
      </w:r>
      <w:smartTag w:uri="urn:schemas-microsoft-com:office:smarttags" w:element="place">
        <w:smartTag w:uri="urn:schemas-microsoft-com:office:smarttags" w:element="country-region">
          <w:r>
            <w:t>U.S.</w:t>
          </w:r>
        </w:smartTag>
      </w:smartTag>
      <w:r>
        <w:t xml:space="preserve"> 254 (1964).  The rationale for such differential treatment is, first, that the public figure has greater access to the media and therefore greater opportunity to rebut defamatory statements, and second, that those who have become public figures have done so voluntarily and therefore "invite attention and comment."  Giving broad scope to the right of publicity has the potential of  allowing a celebrity to accomplish through the vigorous exercise of that right the censorship of unflattering commentary that cannot be constitutionally accomplished through defamation actions. </w:t>
      </w:r>
    </w:p>
    <w:p w:rsidR="00032A5B" w:rsidRDefault="00032A5B" w:rsidP="00032A5B">
      <w:pPr>
        <w:jc w:val="both"/>
      </w:pPr>
    </w:p>
    <w:p w:rsidR="00032A5B" w:rsidRDefault="00032A5B" w:rsidP="00032A5B">
      <w:pPr>
        <w:jc w:val="both"/>
      </w:pPr>
      <w:r>
        <w:t>Nor do Saderup's creations lose their constitutional protections because they are for purposes of entertaining rather than informing.   Nor does the fact that expression takes a form of nonverbal, visual representation remove it from the ambit of First Amendment protection.</w:t>
      </w:r>
    </w:p>
    <w:p w:rsidR="00032A5B" w:rsidRDefault="00032A5B" w:rsidP="00032A5B">
      <w:pPr>
        <w:jc w:val="both"/>
      </w:pPr>
    </w:p>
    <w:p w:rsidR="00032A5B" w:rsidRDefault="00032A5B" w:rsidP="00032A5B">
      <w:pPr>
        <w:jc w:val="both"/>
      </w:pPr>
      <w:r>
        <w:t xml:space="preserve">Moreover, the United States Supreme Court has made it clear that a work of art is protected by the First Amendment even if it conveys no discernable message. .  . .  Nor does the fact that Saderup's art appears in large part on a less conventional avenue of communications, T-shirts, result in reduced First Amendment protection. . .  First Amendment doctrine does not disfavor nontraditional media of expression. . . . </w:t>
      </w:r>
    </w:p>
    <w:p w:rsidR="00032A5B" w:rsidRDefault="00032A5B" w:rsidP="00032A5B">
      <w:pPr>
        <w:jc w:val="both"/>
      </w:pPr>
    </w:p>
    <w:p w:rsidR="00032A5B" w:rsidRDefault="00032A5B" w:rsidP="00032A5B">
      <w:pPr>
        <w:jc w:val="both"/>
      </w:pPr>
      <w:r>
        <w:t xml:space="preserve">The present case exemplifies this kind of creative labor. Moe and Jerome (Curly) Howard and Larry Fein fashioned personae collectively known as  The Three Stooges, first in vaudeville and later in movie shorts, over a period extending from the 1920's to the 1940's.   The three comic characters they created and whose names they shared—Larry, Moe, and Curly—possess a kind of mythic status in our culture. Their journey from ordinary vaudeville performers to the heights (or depths) of slapstick comic celebrity was long and arduous.  Their brand of physical humor—the nimble, comically stylized violence, the "nyuk-nyuks" and "whoop-whoop-whoops," eye-pokes, slaps and head conks—created a distinct comedic trademark. Through their talent and labor, they joined the relatively small group of actors who constructed identifiable, recurrent comic personalities that they brought to the many parts they were scripted to play. </w:t>
      </w:r>
    </w:p>
    <w:p w:rsidR="00032A5B" w:rsidRDefault="00032A5B" w:rsidP="00032A5B">
      <w:pPr>
        <w:jc w:val="both"/>
      </w:pPr>
    </w:p>
    <w:p w:rsidR="00032A5B" w:rsidRDefault="00032A5B" w:rsidP="00032A5B">
      <w:pPr>
        <w:jc w:val="both"/>
      </w:pPr>
      <w:r>
        <w:t xml:space="preserve">In sum, society may recognize, as the Legislature has done here, that a celebrity's heirs and assigns have a legitimate protectible interest in exploiting the value to be obtained from merchandising the celebrity's image, whether that interest be conceived as a kind of natural property right or as an incentive for encouraging creative work.   [T]he Legislature has a rational basis for permitting celebrities and their heirs to control the commercial exploitation of the celebrity's likeness. . . . </w:t>
      </w:r>
    </w:p>
    <w:p w:rsidR="00032A5B" w:rsidRDefault="00032A5B" w:rsidP="00032A5B">
      <w:pPr>
        <w:jc w:val="both"/>
      </w:pPr>
    </w:p>
    <w:p w:rsidR="00032A5B" w:rsidRDefault="00032A5B" w:rsidP="00032A5B">
      <w:pPr>
        <w:jc w:val="both"/>
      </w:pPr>
      <w:r>
        <w:t xml:space="preserve">Another way of stating the inquiry is whether the celebrity likeness is one of the "raw materials" from which an original work is synthesized, or whether the depiction or imitation of the celebrity is the very sum and substance of the work in question.  We ask, in other words, whether a product containing a celebrity's likeness is so transformed that it has become primarily the defendant's own expression rather than the celebrity's likeness.  And when we use the word "expression," we mean expression of something other than the likeness of the celebrity. . . . </w:t>
      </w:r>
    </w:p>
    <w:p w:rsidR="00032A5B" w:rsidRDefault="00032A5B" w:rsidP="00032A5B">
      <w:pPr>
        <w:jc w:val="both"/>
      </w:pPr>
    </w:p>
    <w:p w:rsidR="00032A5B" w:rsidRDefault="00032A5B" w:rsidP="00032A5B">
      <w:pPr>
        <w:jc w:val="both"/>
      </w:pPr>
      <w:r>
        <w:t xml:space="preserve">In sum, when an artist is faced with a right of publicity challenge to his or her work, he or she may raise as affirmative defense that the work is protected by the First Amendment inasmuch as it contains significant transformative elements or that the value of the work does not derive primarily from the celebrity's fame. </w:t>
      </w:r>
    </w:p>
    <w:p w:rsidR="00032A5B" w:rsidRDefault="00032A5B" w:rsidP="00032A5B">
      <w:pPr>
        <w:jc w:val="both"/>
      </w:pPr>
    </w:p>
    <w:p w:rsidR="00032A5B" w:rsidRDefault="00032A5B" w:rsidP="00032A5B">
      <w:pPr>
        <w:jc w:val="both"/>
      </w:pPr>
      <w:r>
        <w:t>Turning to the present case, . . . the inquiry is into whether Saderup's work is sufficiently transformative. . .  Without denying that all portraiture involves the making of artistic choices, we find it equally undeniable, under the test formulated above, that when an artist's skill and talent is manifestly subordinated to the overall goal of creating a conventional portrait of a celebrity so as to commercially exploit his or her fame, then the artist's right of free expression is outweighed by the right of publicity. . . .</w:t>
      </w:r>
    </w:p>
    <w:p w:rsidR="00032A5B" w:rsidRDefault="00032A5B" w:rsidP="00032A5B">
      <w:pPr>
        <w:jc w:val="both"/>
      </w:pPr>
    </w:p>
    <w:p w:rsidR="00032A5B" w:rsidRDefault="00032A5B" w:rsidP="00032A5B">
      <w:pPr>
        <w:jc w:val="both"/>
      </w:pPr>
      <w:r>
        <w:t xml:space="preserve">Turning to Saderup's work, we can discern no significant transformative or creative contribution.  His undeniable skill is manifestly subordinated to the overall goal of creating literal, conventional depictions of The Three Stooges so as to exploit their fame. Indeed, were we to decide that Saderup's depictions were protected by the First Amendment, we cannot perceive how the right of publicity would remain a viable right other than in cases of falsified celebrity endorsements. </w:t>
      </w:r>
    </w:p>
    <w:p w:rsidR="00032A5B" w:rsidRDefault="00032A5B" w:rsidP="00032A5B">
      <w:pPr>
        <w:jc w:val="both"/>
      </w:pPr>
    </w:p>
    <w:p w:rsidR="00032A5B" w:rsidRDefault="00032A5B" w:rsidP="00032A5B">
      <w:pPr>
        <w:jc w:val="both"/>
      </w:pPr>
      <w:r>
        <w:t xml:space="preserve">Moreover, the marketability and economic value of Saderup's work derives primarily from the fame of the celebrities depicted.  While that fact alone does not necessarily mean the work receives no First Amendment protection, we can perceive no transformative elements in Saderup's works that would require such protection. </w:t>
      </w:r>
    </w:p>
    <w:p w:rsidR="00032A5B" w:rsidRDefault="00032A5B" w:rsidP="00032A5B">
      <w:pPr>
        <w:jc w:val="both"/>
      </w:pPr>
    </w:p>
    <w:p w:rsidR="00032A5B" w:rsidRDefault="00032A5B" w:rsidP="00032A5B">
      <w:pPr>
        <w:jc w:val="both"/>
      </w:pPr>
    </w:p>
    <w:p w:rsidR="00032A5B" w:rsidRDefault="00032A5B" w:rsidP="00032A5B">
      <w:pPr>
        <w:jc w:val="both"/>
      </w:pPr>
      <w:r>
        <w:t xml:space="preserve">IV. Disposition </w:t>
      </w:r>
    </w:p>
    <w:p w:rsidR="00032A5B" w:rsidRDefault="00032A5B" w:rsidP="00032A5B">
      <w:pPr>
        <w:jc w:val="both"/>
      </w:pPr>
      <w:r>
        <w:t xml:space="preserve">   </w:t>
      </w:r>
    </w:p>
    <w:p w:rsidR="00032A5B" w:rsidRDefault="00032A5B" w:rsidP="00032A5B">
      <w:pPr>
        <w:jc w:val="both"/>
      </w:pPr>
      <w:r>
        <w:t>The judgment of the Court of Appeal is affirmed.</w:t>
      </w:r>
    </w:p>
    <w:p w:rsidR="00032A5B" w:rsidRDefault="00032A5B" w:rsidP="00032A5B">
      <w:r>
        <w:br w:type="page"/>
      </w:r>
    </w:p>
    <w:p w:rsidR="00032A5B" w:rsidRPr="00CC6E73" w:rsidRDefault="00032A5B" w:rsidP="00032A5B">
      <w:pPr>
        <w:jc w:val="center"/>
      </w:pPr>
      <w:r w:rsidRPr="00CC6E73">
        <w:lastRenderedPageBreak/>
        <w:t xml:space="preserve">LUTHER R. CAMPBELL AKA LUKE SKYWALKER, ET AL., PETITIONERS </w:t>
      </w:r>
      <w:r w:rsidRPr="00CC6E73">
        <w:br/>
        <w:t>v. ACUFF-ROSE MUSIC, INC.</w:t>
      </w:r>
    </w:p>
    <w:p w:rsidR="00032A5B" w:rsidRDefault="00032A5B" w:rsidP="00032A5B">
      <w:pPr>
        <w:pStyle w:val="Heading2"/>
        <w:rPr>
          <w:sz w:val="20"/>
          <w:u w:val="none"/>
        </w:rPr>
      </w:pPr>
    </w:p>
    <w:p w:rsidR="00032A5B" w:rsidRDefault="00032A5B" w:rsidP="00032A5B">
      <w:pPr>
        <w:pStyle w:val="Heading2"/>
        <w:rPr>
          <w:sz w:val="20"/>
          <w:u w:val="none"/>
        </w:rPr>
      </w:pPr>
      <w:r w:rsidRPr="00646085">
        <w:rPr>
          <w:sz w:val="20"/>
          <w:u w:val="none"/>
        </w:rPr>
        <w:t xml:space="preserve">510 </w:t>
      </w:r>
      <w:smartTag w:uri="urn:schemas-microsoft-com:office:smarttags" w:element="country-region">
        <w:r w:rsidRPr="00646085">
          <w:rPr>
            <w:sz w:val="20"/>
            <w:u w:val="none"/>
          </w:rPr>
          <w:t>U.S.</w:t>
        </w:r>
      </w:smartTag>
      <w:r w:rsidRPr="00646085">
        <w:rPr>
          <w:sz w:val="20"/>
          <w:u w:val="none"/>
        </w:rPr>
        <w:t xml:space="preserve"> 569</w:t>
      </w:r>
      <w:r w:rsidRPr="00646085">
        <w:rPr>
          <w:sz w:val="20"/>
          <w:u w:val="none"/>
        </w:rPr>
        <w:br/>
        <w:t> </w:t>
      </w:r>
      <w:smartTag w:uri="urn:schemas-microsoft-com:office:smarttags" w:element="place">
        <w:smartTag w:uri="urn:schemas-microsoft-com:office:smarttags" w:element="country-region">
          <w:r w:rsidRPr="00646085">
            <w:rPr>
              <w:sz w:val="20"/>
              <w:u w:val="none"/>
            </w:rPr>
            <w:t>U.S.</w:t>
          </w:r>
        </w:smartTag>
      </w:smartTag>
      <w:r>
        <w:rPr>
          <w:sz w:val="20"/>
          <w:u w:val="none"/>
        </w:rPr>
        <w:t xml:space="preserve"> Supreme Court</w:t>
      </w:r>
    </w:p>
    <w:p w:rsidR="00032A5B" w:rsidRPr="00646085" w:rsidRDefault="00032A5B" w:rsidP="00032A5B"/>
    <w:p w:rsidR="00032A5B" w:rsidRPr="009B3817" w:rsidRDefault="00032A5B" w:rsidP="00032A5B">
      <w:pPr>
        <w:jc w:val="center"/>
      </w:pPr>
      <w:smartTag w:uri="urn:schemas-microsoft-com:office:smarttags" w:element="date">
        <w:smartTagPr>
          <w:attr w:name="Year" w:val="1994"/>
          <w:attr w:name="Day" w:val="7"/>
          <w:attr w:name="Month" w:val="3"/>
          <w:attr w:name="ls" w:val="trans"/>
        </w:smartTagPr>
        <w:r w:rsidRPr="009B3817">
          <w:t>March 7, 1994</w:t>
        </w:r>
      </w:smartTag>
      <w:r w:rsidRPr="009B3817">
        <w:t>, Decided</w:t>
      </w:r>
      <w:r w:rsidRPr="009B3817">
        <w:rPr>
          <w:b/>
          <w:bCs/>
        </w:rPr>
        <w:t xml:space="preserve"> </w:t>
      </w:r>
    </w:p>
    <w:p w:rsidR="00032A5B" w:rsidRDefault="00032A5B" w:rsidP="00032A5B">
      <w:pPr>
        <w:pStyle w:val="NormalWeb"/>
        <w:rPr>
          <w:sz w:val="20"/>
          <w:szCs w:val="20"/>
        </w:rPr>
      </w:pPr>
    </w:p>
    <w:p w:rsidR="00032A5B" w:rsidRPr="009B3817" w:rsidRDefault="00032A5B" w:rsidP="00032A5B">
      <w:pPr>
        <w:pStyle w:val="NormalWeb"/>
        <w:rPr>
          <w:sz w:val="20"/>
          <w:szCs w:val="20"/>
        </w:rPr>
      </w:pPr>
      <w:r w:rsidRPr="009B3817">
        <w:rPr>
          <w:sz w:val="20"/>
          <w:szCs w:val="20"/>
        </w:rPr>
        <w:t xml:space="preserve">SOUTER, J., delivered the opinion for a unanimous Court. </w:t>
      </w:r>
      <w:r>
        <w:rPr>
          <w:sz w:val="20"/>
          <w:szCs w:val="20"/>
        </w:rPr>
        <w:t xml:space="preserve"> </w:t>
      </w:r>
      <w:r w:rsidRPr="009B3817">
        <w:rPr>
          <w:sz w:val="20"/>
          <w:szCs w:val="20"/>
        </w:rPr>
        <w:t>Kennedy, J., filed a concurring opinion.</w:t>
      </w:r>
      <w:r w:rsidRPr="009B3817">
        <w:rPr>
          <w:color w:val="005500"/>
          <w:sz w:val="20"/>
          <w:szCs w:val="20"/>
        </w:rPr>
        <w:t xml:space="preserve"> </w:t>
      </w:r>
    </w:p>
    <w:p w:rsidR="00032A5B" w:rsidRPr="00B2007D" w:rsidRDefault="00032A5B" w:rsidP="00032A5B">
      <w:pPr>
        <w:pStyle w:val="NormalWeb"/>
        <w:rPr>
          <w:sz w:val="20"/>
          <w:szCs w:val="20"/>
        </w:rPr>
      </w:pPr>
      <w:r w:rsidRPr="009B3817">
        <w:rPr>
          <w:sz w:val="20"/>
          <w:szCs w:val="20"/>
        </w:rPr>
        <w:t xml:space="preserve">We are called upon to decide whether 2 Live Crew's commercial parody </w:t>
      </w:r>
      <w:r w:rsidRPr="00B2007D">
        <w:rPr>
          <w:sz w:val="20"/>
          <w:szCs w:val="20"/>
        </w:rPr>
        <w:t xml:space="preserve">of Roy Orbison's song, "Oh, Pretty Woman," may be a fair use within the meaning of the Copyright Act of 1976. </w:t>
      </w:r>
      <w:r>
        <w:rPr>
          <w:sz w:val="20"/>
          <w:szCs w:val="20"/>
        </w:rPr>
        <w:t xml:space="preserve"> </w:t>
      </w:r>
      <w:r w:rsidRPr="00B2007D">
        <w:rPr>
          <w:sz w:val="20"/>
          <w:szCs w:val="20"/>
        </w:rPr>
        <w:t xml:space="preserve">Although the District Court granted summary judgment for 2 Live Crew, the Court of Appeals reversed, holding the defense of fair use barred by the song's commercial character and excessive borrowing. Because we hold that a parody's commercial character is only one element to be weighed in a fair use enquiry, and that insufficient consideration was given to the nature of parody in weighing the degree of copying, we reverse </w:t>
      </w:r>
      <w:r>
        <w:rPr>
          <w:sz w:val="20"/>
          <w:szCs w:val="20"/>
        </w:rPr>
        <w:t>and remand.</w:t>
      </w:r>
    </w:p>
    <w:p w:rsidR="00032A5B" w:rsidRPr="00B2007D" w:rsidRDefault="00032A5B" w:rsidP="00032A5B">
      <w:pPr>
        <w:pStyle w:val="Heading3"/>
        <w:jc w:val="center"/>
        <w:rPr>
          <w:sz w:val="20"/>
        </w:rPr>
      </w:pPr>
      <w:r w:rsidRPr="00B2007D">
        <w:rPr>
          <w:sz w:val="20"/>
        </w:rPr>
        <w:t xml:space="preserve">I </w:t>
      </w:r>
    </w:p>
    <w:p w:rsidR="00032A5B" w:rsidRPr="00B2007D" w:rsidRDefault="00032A5B" w:rsidP="00032A5B">
      <w:pPr>
        <w:pStyle w:val="NormalWeb"/>
        <w:rPr>
          <w:sz w:val="20"/>
          <w:szCs w:val="20"/>
        </w:rPr>
      </w:pPr>
      <w:r w:rsidRPr="00B2007D">
        <w:rPr>
          <w:sz w:val="20"/>
          <w:szCs w:val="20"/>
        </w:rPr>
        <w:t xml:space="preserve">In 1964, Roy Orbison and William Dees wrote a rock ballad called "Oh, Pretty Woman" and assigned their rights in it to respondent Acuff-Rose Music, Inc. </w:t>
      </w:r>
      <w:r>
        <w:rPr>
          <w:sz w:val="20"/>
          <w:szCs w:val="20"/>
        </w:rPr>
        <w:t xml:space="preserve"> </w:t>
      </w:r>
      <w:r w:rsidRPr="00B2007D">
        <w:rPr>
          <w:sz w:val="20"/>
          <w:szCs w:val="20"/>
        </w:rPr>
        <w:t xml:space="preserve">Acuff-Rose registered the song for copyright protection. </w:t>
      </w:r>
    </w:p>
    <w:p w:rsidR="00032A5B" w:rsidRPr="00B2007D" w:rsidRDefault="00032A5B" w:rsidP="00032A5B">
      <w:pPr>
        <w:pStyle w:val="NormalWeb"/>
        <w:rPr>
          <w:sz w:val="20"/>
          <w:szCs w:val="20"/>
        </w:rPr>
      </w:pPr>
      <w:r w:rsidRPr="00B2007D">
        <w:rPr>
          <w:sz w:val="20"/>
          <w:szCs w:val="20"/>
        </w:rPr>
        <w:t>Petitioners Luther R. Campbell, Christopher Wongwon, Mark Ross, and David Hobbs, are collectively known as</w:t>
      </w:r>
      <w:r w:rsidRPr="00B2007D">
        <w:rPr>
          <w:color w:val="005500"/>
          <w:sz w:val="20"/>
          <w:szCs w:val="20"/>
        </w:rPr>
        <w:t xml:space="preserve"> </w:t>
      </w:r>
      <w:r w:rsidRPr="00B2007D">
        <w:rPr>
          <w:sz w:val="20"/>
          <w:szCs w:val="20"/>
        </w:rPr>
        <w:t>2 Live Crew, a popular rap music group.</w:t>
      </w:r>
      <w:r>
        <w:rPr>
          <w:sz w:val="20"/>
          <w:szCs w:val="20"/>
        </w:rPr>
        <w:t xml:space="preserve"> </w:t>
      </w:r>
      <w:r w:rsidRPr="00B2007D">
        <w:rPr>
          <w:sz w:val="20"/>
          <w:szCs w:val="20"/>
        </w:rPr>
        <w:t xml:space="preserve"> In 1989, </w:t>
      </w:r>
      <w:smartTag w:uri="urn:schemas-microsoft-com:office:smarttags" w:element="place">
        <w:smartTag w:uri="urn:schemas-microsoft-com:office:smarttags" w:element="City">
          <w:r w:rsidRPr="00B2007D">
            <w:rPr>
              <w:sz w:val="20"/>
              <w:szCs w:val="20"/>
            </w:rPr>
            <w:t>Campbell</w:t>
          </w:r>
        </w:smartTag>
      </w:smartTag>
      <w:r w:rsidRPr="00B2007D">
        <w:rPr>
          <w:sz w:val="20"/>
          <w:szCs w:val="20"/>
        </w:rPr>
        <w:t xml:space="preserve"> wrote a song entitled "Pretty Woman," which he later described in an affidavit as intended, "through comical lyrics, to satirize the original work. . . ." </w:t>
      </w:r>
      <w:r>
        <w:rPr>
          <w:sz w:val="20"/>
          <w:szCs w:val="20"/>
        </w:rPr>
        <w:t xml:space="preserve">  </w:t>
      </w:r>
      <w:r w:rsidRPr="00B2007D">
        <w:rPr>
          <w:sz w:val="20"/>
          <w:szCs w:val="20"/>
        </w:rPr>
        <w:t xml:space="preserve">On </w:t>
      </w:r>
      <w:smartTag w:uri="urn:schemas-microsoft-com:office:smarttags" w:element="date">
        <w:smartTagPr>
          <w:attr w:name="Year" w:val="1989"/>
          <w:attr w:name="Day" w:val="5"/>
          <w:attr w:name="Month" w:val="7"/>
          <w:attr w:name="ls" w:val="trans"/>
        </w:smartTagPr>
        <w:r w:rsidRPr="00B2007D">
          <w:rPr>
            <w:sz w:val="20"/>
            <w:szCs w:val="20"/>
          </w:rPr>
          <w:t>July 5, 1989</w:t>
        </w:r>
      </w:smartTag>
      <w:r w:rsidRPr="00B2007D">
        <w:rPr>
          <w:sz w:val="20"/>
          <w:szCs w:val="20"/>
        </w:rPr>
        <w:t>, 2 Live Crew's manager informed Acuff-Rose that 2 Live Crew had written a parody of "Oh, Pretty Woman," that they would afford all credit for ownership and authorship of the original song to Acuff-Rose, Dees, and Orbison, and that they were willing to pay a fee for the use they wished to make of it. Enclosed with the letter were a copy of the lyrics and a recording of 2 Live Crew's song.</w:t>
      </w:r>
      <w:r>
        <w:rPr>
          <w:sz w:val="20"/>
          <w:szCs w:val="20"/>
        </w:rPr>
        <w:t xml:space="preserve"> </w:t>
      </w:r>
      <w:r w:rsidRPr="00B2007D">
        <w:rPr>
          <w:sz w:val="20"/>
          <w:szCs w:val="20"/>
        </w:rPr>
        <w:t xml:space="preserve"> Acuff-Rose's agent refused permission, stating that "I am aware of the success enjoyed by `The 2 Live Crews', but I must inform you that we cannot permit the use of a parody of `Oh, Pretty Woman.'" Nonetheless, in June or July, 1989, 2 Live Crew released records, cassette tapes, and compact discs of "Pretty Woman" in a collection of songs entitled "As Clean As They Wanna Be." The albums and compact discs identify the authors of "Pretty Woman" as Orbison and Dees and its publisher as Acuff-Rose. </w:t>
      </w:r>
    </w:p>
    <w:p w:rsidR="00032A5B" w:rsidRPr="00B2007D" w:rsidRDefault="00032A5B" w:rsidP="00032A5B">
      <w:pPr>
        <w:pStyle w:val="NormalWeb"/>
        <w:rPr>
          <w:sz w:val="20"/>
          <w:szCs w:val="20"/>
        </w:rPr>
      </w:pPr>
      <w:r w:rsidRPr="00B2007D">
        <w:rPr>
          <w:sz w:val="20"/>
          <w:szCs w:val="20"/>
        </w:rPr>
        <w:t>Almost a year later, after nearly a quarter of a million</w:t>
      </w:r>
      <w:r w:rsidRPr="00B2007D">
        <w:rPr>
          <w:color w:val="005500"/>
          <w:sz w:val="20"/>
          <w:szCs w:val="20"/>
        </w:rPr>
        <w:t xml:space="preserve"> </w:t>
      </w:r>
      <w:r w:rsidRPr="00B2007D">
        <w:rPr>
          <w:sz w:val="20"/>
          <w:szCs w:val="20"/>
        </w:rPr>
        <w:t xml:space="preserve">copies of the recording had been sold, Acuff-Rose sued 2 Live Crew and its record company, Luke Skyywalker Records, for copyright infringement. </w:t>
      </w:r>
      <w:r>
        <w:rPr>
          <w:sz w:val="20"/>
          <w:szCs w:val="20"/>
        </w:rPr>
        <w:t xml:space="preserve">. . . </w:t>
      </w:r>
    </w:p>
    <w:p w:rsidR="00032A5B" w:rsidRPr="00B2007D" w:rsidRDefault="00032A5B" w:rsidP="00032A5B">
      <w:pPr>
        <w:pStyle w:val="NormalWeb"/>
        <w:rPr>
          <w:sz w:val="20"/>
          <w:szCs w:val="20"/>
        </w:rPr>
      </w:pPr>
      <w:r w:rsidRPr="00B2007D">
        <w:rPr>
          <w:sz w:val="20"/>
          <w:szCs w:val="20"/>
        </w:rPr>
        <w:t xml:space="preserve">We granted certiorari, to determine whether 2 Live Crew's commercial parody could be a fair use. </w:t>
      </w:r>
    </w:p>
    <w:p w:rsidR="00032A5B" w:rsidRDefault="00032A5B" w:rsidP="00032A5B">
      <w:pPr>
        <w:pStyle w:val="Heading3"/>
        <w:jc w:val="center"/>
        <w:rPr>
          <w:sz w:val="20"/>
        </w:rPr>
      </w:pPr>
    </w:p>
    <w:p w:rsidR="00032A5B" w:rsidRPr="00B2007D" w:rsidRDefault="00032A5B" w:rsidP="00032A5B">
      <w:pPr>
        <w:pStyle w:val="Heading3"/>
        <w:ind w:left="0"/>
        <w:rPr>
          <w:sz w:val="20"/>
        </w:rPr>
      </w:pPr>
      <w:r w:rsidRPr="00B2007D">
        <w:rPr>
          <w:sz w:val="20"/>
        </w:rPr>
        <w:t xml:space="preserve">II </w:t>
      </w:r>
    </w:p>
    <w:p w:rsidR="00032A5B" w:rsidRPr="00B2007D" w:rsidRDefault="00032A5B" w:rsidP="00032A5B">
      <w:pPr>
        <w:pStyle w:val="NormalWeb"/>
        <w:rPr>
          <w:sz w:val="20"/>
          <w:szCs w:val="20"/>
        </w:rPr>
      </w:pPr>
      <w:r w:rsidRPr="00B2007D">
        <w:rPr>
          <w:sz w:val="20"/>
          <w:szCs w:val="20"/>
        </w:rPr>
        <w:t>It is uncontested here that 2 Live Crew's song would be an infringement of Acuff-Rose's rights in "Oh, Pretty Woman," under the Copyr</w:t>
      </w:r>
      <w:r>
        <w:rPr>
          <w:sz w:val="20"/>
          <w:szCs w:val="20"/>
        </w:rPr>
        <w:t xml:space="preserve">ight Act of 1976, </w:t>
      </w:r>
      <w:r w:rsidRPr="00B2007D">
        <w:rPr>
          <w:sz w:val="20"/>
          <w:szCs w:val="20"/>
        </w:rPr>
        <w:t>but for a finding of fair use through parody.</w:t>
      </w:r>
      <w:r>
        <w:rPr>
          <w:sz w:val="20"/>
          <w:szCs w:val="20"/>
        </w:rPr>
        <w:t xml:space="preserve"> </w:t>
      </w:r>
      <w:r w:rsidRPr="00B2007D">
        <w:rPr>
          <w:sz w:val="20"/>
          <w:szCs w:val="20"/>
        </w:rPr>
        <w:t xml:space="preserve"> From the infancy of copyright</w:t>
      </w:r>
      <w:r w:rsidRPr="00B2007D">
        <w:rPr>
          <w:color w:val="005500"/>
          <w:sz w:val="20"/>
          <w:szCs w:val="20"/>
        </w:rPr>
        <w:t xml:space="preserve"> </w:t>
      </w:r>
      <w:r w:rsidRPr="00B2007D">
        <w:rPr>
          <w:sz w:val="20"/>
          <w:szCs w:val="20"/>
        </w:rPr>
        <w:t xml:space="preserve">protection, some opportunity for fair use of copyrighted materials has been thought necessary to fulfill copyright's very purpose, "[t]o promote the Progress of Science and useful Arts. . . ." </w:t>
      </w:r>
      <w:smartTag w:uri="urn:schemas-microsoft-com:office:smarttags" w:element="place">
        <w:smartTag w:uri="urn:schemas-microsoft-com:office:smarttags" w:element="country-region">
          <w:r w:rsidRPr="00B2007D">
            <w:rPr>
              <w:sz w:val="20"/>
              <w:szCs w:val="20"/>
            </w:rPr>
            <w:t>U.S.</w:t>
          </w:r>
        </w:smartTag>
      </w:smartTag>
      <w:r w:rsidRPr="00B2007D">
        <w:rPr>
          <w:sz w:val="20"/>
          <w:szCs w:val="20"/>
        </w:rPr>
        <w:t xml:space="preserve"> Const., Art. I, 8, cl. 8. </w:t>
      </w:r>
      <w:r>
        <w:rPr>
          <w:sz w:val="20"/>
          <w:szCs w:val="20"/>
        </w:rPr>
        <w:t xml:space="preserve">. . . </w:t>
      </w:r>
    </w:p>
    <w:p w:rsidR="00032A5B" w:rsidRPr="00B2007D" w:rsidRDefault="00032A5B" w:rsidP="00032A5B">
      <w:pPr>
        <w:pStyle w:val="Heading3"/>
        <w:ind w:left="0"/>
        <w:rPr>
          <w:sz w:val="20"/>
        </w:rPr>
      </w:pPr>
      <w:r w:rsidRPr="00B2007D">
        <w:rPr>
          <w:sz w:val="20"/>
        </w:rPr>
        <w:t xml:space="preserve">A </w:t>
      </w:r>
    </w:p>
    <w:p w:rsidR="00032A5B" w:rsidRPr="00B2007D" w:rsidRDefault="00032A5B" w:rsidP="00032A5B">
      <w:pPr>
        <w:pStyle w:val="NormalWeb"/>
        <w:rPr>
          <w:sz w:val="20"/>
          <w:szCs w:val="20"/>
        </w:rPr>
      </w:pPr>
      <w:r w:rsidRPr="00B2007D">
        <w:rPr>
          <w:sz w:val="20"/>
          <w:szCs w:val="20"/>
        </w:rPr>
        <w:t>The first factor in a fair use enquiry is "the purpose and character of the use, including whether such use is of a commercial nature or is for nonprofit educational purposes." 107(1).</w:t>
      </w:r>
      <w:r>
        <w:rPr>
          <w:sz w:val="20"/>
          <w:szCs w:val="20"/>
        </w:rPr>
        <w:t xml:space="preserve">  . . . </w:t>
      </w:r>
      <w:r w:rsidRPr="00B2007D">
        <w:rPr>
          <w:sz w:val="20"/>
          <w:szCs w:val="20"/>
        </w:rPr>
        <w:t>The central purpose of this investigation is to see, in Justice Story's words, whether the new work</w:t>
      </w:r>
      <w:r w:rsidRPr="00B2007D">
        <w:rPr>
          <w:color w:val="005500"/>
          <w:sz w:val="20"/>
          <w:szCs w:val="20"/>
        </w:rPr>
        <w:t xml:space="preserve">  </w:t>
      </w:r>
      <w:r w:rsidRPr="00B2007D">
        <w:rPr>
          <w:sz w:val="20"/>
          <w:szCs w:val="20"/>
        </w:rPr>
        <w:t>merely "supersede[s] the objects" of the original creation,</w:t>
      </w:r>
      <w:r>
        <w:rPr>
          <w:sz w:val="20"/>
          <w:szCs w:val="20"/>
        </w:rPr>
        <w:t xml:space="preserve"> . . </w:t>
      </w:r>
      <w:r w:rsidRPr="00B2007D">
        <w:rPr>
          <w:sz w:val="20"/>
          <w:szCs w:val="20"/>
        </w:rPr>
        <w:t xml:space="preserve">or instead adds </w:t>
      </w:r>
      <w:r w:rsidRPr="00B2007D">
        <w:rPr>
          <w:sz w:val="20"/>
          <w:szCs w:val="20"/>
        </w:rPr>
        <w:lastRenderedPageBreak/>
        <w:t xml:space="preserve">something new, with a further purpose or different character, altering the first with new expression, meaning, or message; it asks, in other words, whether and to what extent the new work is "transformative." </w:t>
      </w:r>
      <w:r>
        <w:rPr>
          <w:sz w:val="20"/>
          <w:szCs w:val="20"/>
        </w:rPr>
        <w:t xml:space="preserve"> </w:t>
      </w:r>
      <w:r w:rsidRPr="00B2007D">
        <w:rPr>
          <w:sz w:val="20"/>
          <w:szCs w:val="20"/>
        </w:rPr>
        <w:t xml:space="preserve">Although such transformative use is not absolutely necessary for a finding of fair use, the goal of copyright, to promote science and the arts, is generally furthered by the creation of transformative works. </w:t>
      </w:r>
      <w:r>
        <w:rPr>
          <w:sz w:val="20"/>
          <w:szCs w:val="20"/>
        </w:rPr>
        <w:t xml:space="preserve"> </w:t>
      </w:r>
      <w:r w:rsidRPr="00B2007D">
        <w:rPr>
          <w:sz w:val="20"/>
          <w:szCs w:val="20"/>
        </w:rPr>
        <w:t xml:space="preserve">Such works thus lie at the heart of the fair use doctrine's guarantee of breathing space within the confines of copyright, </w:t>
      </w:r>
      <w:r>
        <w:rPr>
          <w:sz w:val="20"/>
          <w:szCs w:val="20"/>
        </w:rPr>
        <w:t xml:space="preserve">. . . </w:t>
      </w:r>
      <w:r w:rsidRPr="00B2007D">
        <w:rPr>
          <w:sz w:val="20"/>
          <w:szCs w:val="20"/>
        </w:rPr>
        <w:t>and the more transformative the new work, the less will be the significance of other factors, like commercialism, that may weigh against a finding of fair</w:t>
      </w:r>
      <w:r>
        <w:rPr>
          <w:sz w:val="20"/>
          <w:szCs w:val="20"/>
        </w:rPr>
        <w:t xml:space="preserve"> use</w:t>
      </w:r>
      <w:r w:rsidRPr="00B2007D">
        <w:rPr>
          <w:sz w:val="20"/>
          <w:szCs w:val="20"/>
        </w:rPr>
        <w:t xml:space="preserve">. </w:t>
      </w:r>
      <w:r>
        <w:rPr>
          <w:sz w:val="20"/>
          <w:szCs w:val="20"/>
        </w:rPr>
        <w:t>. . . .</w:t>
      </w:r>
      <w:r w:rsidRPr="00B2007D">
        <w:rPr>
          <w:sz w:val="20"/>
          <w:szCs w:val="20"/>
        </w:rPr>
        <w:t xml:space="preserve"> </w:t>
      </w:r>
    </w:p>
    <w:p w:rsidR="00032A5B" w:rsidRPr="00B2007D" w:rsidRDefault="00032A5B" w:rsidP="00032A5B">
      <w:pPr>
        <w:pStyle w:val="NormalWeb"/>
        <w:rPr>
          <w:sz w:val="20"/>
          <w:szCs w:val="20"/>
        </w:rPr>
      </w:pPr>
      <w:r w:rsidRPr="00B2007D">
        <w:rPr>
          <w:sz w:val="20"/>
          <w:szCs w:val="20"/>
        </w:rPr>
        <w:t xml:space="preserve">Modern dictionaries describe a parody as a "literary or artistic work that imitates the characteristic style of an author or a work for comic effect or ridicule," or as a "composition in prose or verse in which the characteristic turns of thought and phrase in an author or class of authors are imitated in such a way as to make them appear ridiculous." </w:t>
      </w:r>
      <w:r>
        <w:rPr>
          <w:sz w:val="20"/>
          <w:szCs w:val="20"/>
        </w:rPr>
        <w:t xml:space="preserve"> </w:t>
      </w:r>
      <w:r w:rsidRPr="00B2007D">
        <w:rPr>
          <w:sz w:val="20"/>
          <w:szCs w:val="20"/>
        </w:rPr>
        <w:t xml:space="preserve">For the purposes of copyright law, the nub of the definitions, and the heart of any parodist's claim to quote from existing material, is the use of some elements of a prior author's composition to create a new one that, at least in part, comments on that author's works. </w:t>
      </w:r>
      <w:r>
        <w:rPr>
          <w:sz w:val="20"/>
          <w:szCs w:val="20"/>
        </w:rPr>
        <w:t xml:space="preserve">. . . </w:t>
      </w:r>
    </w:p>
    <w:p w:rsidR="00032A5B" w:rsidRPr="00B2007D" w:rsidRDefault="00032A5B" w:rsidP="00032A5B">
      <w:pPr>
        <w:pStyle w:val="NormalWeb"/>
        <w:rPr>
          <w:sz w:val="20"/>
          <w:szCs w:val="20"/>
        </w:rPr>
      </w:pPr>
      <w:r w:rsidRPr="00B2007D">
        <w:rPr>
          <w:sz w:val="20"/>
          <w:szCs w:val="20"/>
        </w:rPr>
        <w:t>The fact that parody can claim legitimacy for some appropriation does not, of course, tell either parodist or judge much about where to draw the line. Like a book review quoting the copyrighted material criticized, parody may or may not be fair use, and petitioner's suggestion that any parodic use is presumptively fair has no more justification in law or fact than the equally hopeful claim that any use for news reporting should be presumed fair</w:t>
      </w:r>
      <w:r>
        <w:rPr>
          <w:sz w:val="20"/>
          <w:szCs w:val="20"/>
        </w:rPr>
        <w:t xml:space="preserve">. . . </w:t>
      </w:r>
      <w:r w:rsidRPr="00B2007D">
        <w:rPr>
          <w:sz w:val="20"/>
          <w:szCs w:val="20"/>
        </w:rPr>
        <w:t>.</w:t>
      </w:r>
      <w:r>
        <w:rPr>
          <w:sz w:val="20"/>
          <w:szCs w:val="20"/>
        </w:rPr>
        <w:t xml:space="preserve">  P</w:t>
      </w:r>
      <w:r w:rsidRPr="00B2007D">
        <w:rPr>
          <w:sz w:val="20"/>
          <w:szCs w:val="20"/>
        </w:rPr>
        <w:t xml:space="preserve">arody, like any other use, has to work its way through the relevant factors, and be judged case by case, in light of the ends of the copyright law. </w:t>
      </w:r>
      <w:r>
        <w:rPr>
          <w:sz w:val="20"/>
          <w:szCs w:val="20"/>
        </w:rPr>
        <w:t>. .</w:t>
      </w:r>
    </w:p>
    <w:p w:rsidR="00032A5B" w:rsidRPr="00B2007D" w:rsidRDefault="00032A5B" w:rsidP="00032A5B">
      <w:pPr>
        <w:pStyle w:val="NormalWeb"/>
        <w:rPr>
          <w:sz w:val="20"/>
          <w:szCs w:val="20"/>
        </w:rPr>
      </w:pPr>
      <w:r w:rsidRPr="00B2007D">
        <w:rPr>
          <w:sz w:val="20"/>
          <w:szCs w:val="20"/>
        </w:rPr>
        <w:t>The threshold question when fair use is raised in defense of parody is whether a paro</w:t>
      </w:r>
      <w:r>
        <w:rPr>
          <w:sz w:val="20"/>
          <w:szCs w:val="20"/>
        </w:rPr>
        <w:t xml:space="preserve">dic character may reasonably be </w:t>
      </w:r>
      <w:r w:rsidRPr="00B2007D">
        <w:rPr>
          <w:sz w:val="20"/>
          <w:szCs w:val="20"/>
        </w:rPr>
        <w:t>perceived.</w:t>
      </w:r>
      <w:r>
        <w:rPr>
          <w:sz w:val="20"/>
          <w:szCs w:val="20"/>
        </w:rPr>
        <w:t xml:space="preserve"> </w:t>
      </w:r>
      <w:r w:rsidRPr="00B2007D">
        <w:rPr>
          <w:color w:val="005500"/>
          <w:sz w:val="20"/>
          <w:szCs w:val="20"/>
        </w:rPr>
        <w:t xml:space="preserve"> </w:t>
      </w:r>
      <w:r w:rsidRPr="00B2007D">
        <w:rPr>
          <w:sz w:val="20"/>
          <w:szCs w:val="20"/>
        </w:rPr>
        <w:t>Whether, going beyond that, parody is in good taste or bad does not and should not matter to fair use</w:t>
      </w:r>
      <w:r>
        <w:rPr>
          <w:sz w:val="20"/>
          <w:szCs w:val="20"/>
        </w:rPr>
        <w:t xml:space="preserve">. . . . </w:t>
      </w:r>
    </w:p>
    <w:p w:rsidR="00032A5B" w:rsidRDefault="00032A5B" w:rsidP="00032A5B">
      <w:pPr>
        <w:pStyle w:val="NormalWeb"/>
        <w:rPr>
          <w:sz w:val="20"/>
          <w:szCs w:val="20"/>
        </w:rPr>
      </w:pPr>
      <w:r w:rsidRPr="00B2007D">
        <w:rPr>
          <w:sz w:val="20"/>
          <w:szCs w:val="20"/>
        </w:rPr>
        <w:t>While we might not assign a high rank to the parodic element here, we think it fair to say that 2 Live Crew's song reasonably could be perceived as commenting on the original or criticizing it, to some degree. 2 Live Crew juxtaposes the romantic musings of a man whose fantasy comes true with degrading taunts, a bawdy demand for sex, and a sigh of relief from paternal responsibility. The later words can be taken as a comment on the naivete of the original of an earlier day, as a rejection of its sentiment that ignores the ugliness of street life and the debasement that it signifies. It is this joinder of reference and ridicule that marks off the author's choice of parody from the other types of comment and criticism that traditionally have had a</w:t>
      </w:r>
      <w:r w:rsidRPr="00B2007D">
        <w:rPr>
          <w:color w:val="005500"/>
          <w:sz w:val="20"/>
          <w:szCs w:val="20"/>
        </w:rPr>
        <w:t xml:space="preserve"> </w:t>
      </w:r>
      <w:r w:rsidRPr="00B2007D">
        <w:rPr>
          <w:sz w:val="20"/>
          <w:szCs w:val="20"/>
        </w:rPr>
        <w:t>claim to fair use protection as transformative works.</w:t>
      </w:r>
      <w:r>
        <w:rPr>
          <w:sz w:val="20"/>
          <w:szCs w:val="20"/>
        </w:rPr>
        <w:t xml:space="preserve"> . . .</w:t>
      </w:r>
    </w:p>
    <w:p w:rsidR="00032A5B" w:rsidRPr="00B2007D" w:rsidRDefault="00032A5B" w:rsidP="00032A5B">
      <w:pPr>
        <w:pStyle w:val="NormalWeb"/>
        <w:rPr>
          <w:sz w:val="20"/>
          <w:szCs w:val="20"/>
        </w:rPr>
      </w:pPr>
      <w:r>
        <w:rPr>
          <w:sz w:val="20"/>
          <w:szCs w:val="20"/>
        </w:rPr>
        <w:t>. . . .  T</w:t>
      </w:r>
      <w:r w:rsidRPr="00B2007D">
        <w:rPr>
          <w:sz w:val="20"/>
          <w:szCs w:val="20"/>
        </w:rPr>
        <w:t xml:space="preserve">he mere fact that a use is educational and not for profit does not insulate it from a finding of infringement, any more than the commercial character of a use bars a finding of fairness. </w:t>
      </w:r>
      <w:r>
        <w:rPr>
          <w:sz w:val="20"/>
          <w:szCs w:val="20"/>
        </w:rPr>
        <w:t xml:space="preserve"> </w:t>
      </w:r>
      <w:r w:rsidRPr="00B2007D">
        <w:rPr>
          <w:sz w:val="20"/>
          <w:szCs w:val="20"/>
        </w:rPr>
        <w:t>If, indeed, commerciality carried presumptive force against a finding of fairness, the presumption would swallow nearly all of the illustrative</w:t>
      </w:r>
      <w:r w:rsidRPr="00B2007D">
        <w:rPr>
          <w:color w:val="005500"/>
          <w:sz w:val="20"/>
          <w:szCs w:val="20"/>
        </w:rPr>
        <w:t xml:space="preserve">  </w:t>
      </w:r>
      <w:r w:rsidRPr="00B2007D">
        <w:rPr>
          <w:sz w:val="20"/>
          <w:szCs w:val="20"/>
        </w:rPr>
        <w:t>uses listed in the preamble paragraph of 107, including news reporting, comment, criticism, teaching, scholarship, and research, since these activities "are generally conducted for profit in this country."</w:t>
      </w:r>
      <w:r>
        <w:rPr>
          <w:sz w:val="20"/>
          <w:szCs w:val="20"/>
        </w:rPr>
        <w:t xml:space="preserve"> . . . .</w:t>
      </w:r>
    </w:p>
    <w:p w:rsidR="00032A5B" w:rsidRPr="00B2007D" w:rsidRDefault="00032A5B" w:rsidP="00032A5B">
      <w:pPr>
        <w:pStyle w:val="NormalWeb"/>
        <w:rPr>
          <w:sz w:val="20"/>
          <w:szCs w:val="20"/>
        </w:rPr>
      </w:pPr>
      <w:r w:rsidRPr="00B2007D">
        <w:rPr>
          <w:sz w:val="20"/>
          <w:szCs w:val="20"/>
        </w:rPr>
        <w:t xml:space="preserve">The use, for example, of a copyrighted work to advertise a product, even in a parody, will be entitled to less indulgence under the first factor of the fair use enquiry than the sale of a parody for its own sake, let alone one performed a single time by students in school. </w:t>
      </w:r>
      <w:r>
        <w:rPr>
          <w:sz w:val="20"/>
          <w:szCs w:val="20"/>
        </w:rPr>
        <w:t xml:space="preserve">. . . </w:t>
      </w:r>
    </w:p>
    <w:p w:rsidR="00032A5B" w:rsidRPr="00B2007D" w:rsidRDefault="00032A5B" w:rsidP="00032A5B">
      <w:pPr>
        <w:pStyle w:val="Heading3"/>
        <w:ind w:left="0"/>
        <w:rPr>
          <w:sz w:val="20"/>
        </w:rPr>
      </w:pPr>
      <w:r w:rsidRPr="00B2007D">
        <w:rPr>
          <w:sz w:val="20"/>
        </w:rPr>
        <w:t xml:space="preserve">C </w:t>
      </w:r>
    </w:p>
    <w:p w:rsidR="00032A5B" w:rsidRDefault="00032A5B" w:rsidP="00032A5B">
      <w:pPr>
        <w:pStyle w:val="NormalWeb"/>
        <w:rPr>
          <w:sz w:val="20"/>
          <w:szCs w:val="20"/>
        </w:rPr>
      </w:pPr>
      <w:r w:rsidRPr="00B2007D">
        <w:rPr>
          <w:sz w:val="20"/>
          <w:szCs w:val="20"/>
        </w:rPr>
        <w:t>The third factor asks whether "the amount and substantiality of the portion used in relation to the copyrighted work as a whole," 107(3</w:t>
      </w:r>
      <w:r>
        <w:rPr>
          <w:sz w:val="20"/>
          <w:szCs w:val="20"/>
        </w:rPr>
        <w:t xml:space="preserve">) . . . </w:t>
      </w:r>
      <w:r w:rsidRPr="00B2007D">
        <w:rPr>
          <w:sz w:val="20"/>
          <w:szCs w:val="20"/>
        </w:rPr>
        <w:t xml:space="preserve">are reasonable in relation to the purpose of the copying. </w:t>
      </w:r>
      <w:r>
        <w:rPr>
          <w:sz w:val="20"/>
          <w:szCs w:val="20"/>
        </w:rPr>
        <w:t xml:space="preserve"> </w:t>
      </w:r>
      <w:r w:rsidRPr="00B2007D">
        <w:rPr>
          <w:sz w:val="20"/>
          <w:szCs w:val="20"/>
        </w:rPr>
        <w:t xml:space="preserve">Here, attention turns to the persuasiveness of a parodist's justification for the particular copying done, and the enquiry will harken back to the first of the statutory factors, for, as in prior cases, we recognize that the extent of permissible copying varies with the purpose and character of the use. </w:t>
      </w:r>
      <w:r>
        <w:rPr>
          <w:sz w:val="20"/>
          <w:szCs w:val="20"/>
        </w:rPr>
        <w:t xml:space="preserve">. . . </w:t>
      </w:r>
    </w:p>
    <w:p w:rsidR="00032A5B" w:rsidRPr="00B2007D" w:rsidRDefault="00032A5B" w:rsidP="00032A5B">
      <w:pPr>
        <w:pStyle w:val="NormalWeb"/>
        <w:rPr>
          <w:sz w:val="20"/>
          <w:szCs w:val="20"/>
        </w:rPr>
      </w:pPr>
      <w:r w:rsidRPr="00B2007D">
        <w:rPr>
          <w:sz w:val="20"/>
          <w:szCs w:val="20"/>
        </w:rPr>
        <w:t>We conclude that taking the heart of the original and making it the heart of a new work was to purloin a substantial portion o</w:t>
      </w:r>
      <w:r>
        <w:rPr>
          <w:sz w:val="20"/>
          <w:szCs w:val="20"/>
        </w:rPr>
        <w:t xml:space="preserve">f the essence of the original.". . . . .   </w:t>
      </w:r>
      <w:r w:rsidRPr="00B2007D">
        <w:rPr>
          <w:sz w:val="20"/>
          <w:szCs w:val="20"/>
        </w:rPr>
        <w:t xml:space="preserve">Where we part company with the court below is in applying these guides to parody, and in particular to parody in the song before us. </w:t>
      </w:r>
      <w:r>
        <w:rPr>
          <w:sz w:val="20"/>
          <w:szCs w:val="20"/>
        </w:rPr>
        <w:t xml:space="preserve"> </w:t>
      </w:r>
      <w:r w:rsidRPr="00B2007D">
        <w:rPr>
          <w:sz w:val="20"/>
          <w:szCs w:val="20"/>
        </w:rPr>
        <w:t xml:space="preserve">Parody presents a difficult case. </w:t>
      </w:r>
      <w:r>
        <w:rPr>
          <w:sz w:val="20"/>
          <w:szCs w:val="20"/>
        </w:rPr>
        <w:t xml:space="preserve"> </w:t>
      </w:r>
      <w:r w:rsidRPr="00B2007D">
        <w:rPr>
          <w:sz w:val="20"/>
          <w:szCs w:val="20"/>
        </w:rPr>
        <w:t xml:space="preserve">Parody's humor, or in any event its comment, necessarily springs from recognizable allusion to its object through distorted imitation. Its art lies in the tension between a known original and its parodic twin. When parody takes aim at a particular original work, the parody must be </w:t>
      </w:r>
      <w:r w:rsidRPr="00B2007D">
        <w:rPr>
          <w:sz w:val="20"/>
          <w:szCs w:val="20"/>
        </w:rPr>
        <w:lastRenderedPageBreak/>
        <w:t>able to "conjure up" at least enough of that original to make the object of its critical wit recognizable. What</w:t>
      </w:r>
      <w:r w:rsidRPr="00B2007D">
        <w:rPr>
          <w:color w:val="005500"/>
          <w:sz w:val="20"/>
          <w:szCs w:val="20"/>
        </w:rPr>
        <w:t xml:space="preserve"> </w:t>
      </w:r>
      <w:r w:rsidRPr="00B2007D">
        <w:rPr>
          <w:sz w:val="20"/>
          <w:szCs w:val="20"/>
        </w:rPr>
        <w:t xml:space="preserve">makes for this recognition is quotation of the original's most distinctive or memorable features, which the parodist can be sure the audience will know. Once enough has been taken to assure identification, how much more is reasonable will depend, say, on the extent to which the song's overriding purpose and character is to parody the original or, in contrast, the likelihood that the parody may serve as a market substitute for the original. But using some characteristic features cannot be avoided. </w:t>
      </w:r>
      <w:r>
        <w:rPr>
          <w:sz w:val="20"/>
          <w:szCs w:val="20"/>
        </w:rPr>
        <w:t xml:space="preserve">. . . </w:t>
      </w:r>
    </w:p>
    <w:p w:rsidR="00032A5B" w:rsidRPr="00B2007D" w:rsidRDefault="00032A5B" w:rsidP="00032A5B">
      <w:pPr>
        <w:pStyle w:val="NormalWeb"/>
        <w:rPr>
          <w:sz w:val="20"/>
          <w:szCs w:val="20"/>
        </w:rPr>
      </w:pPr>
      <w:r w:rsidRPr="00B2007D">
        <w:rPr>
          <w:sz w:val="20"/>
          <w:szCs w:val="20"/>
        </w:rPr>
        <w:t>This is not, of course, to say that anyone who calls himself a parodist can skim the cream and</w:t>
      </w:r>
      <w:r>
        <w:rPr>
          <w:sz w:val="20"/>
          <w:szCs w:val="20"/>
        </w:rPr>
        <w:t xml:space="preserve"> get away scot free.  In parody</w:t>
      </w:r>
      <w:r w:rsidRPr="00B2007D">
        <w:rPr>
          <w:sz w:val="20"/>
          <w:szCs w:val="20"/>
        </w:rPr>
        <w:t xml:space="preserve"> </w:t>
      </w:r>
      <w:r>
        <w:rPr>
          <w:sz w:val="20"/>
          <w:szCs w:val="20"/>
        </w:rPr>
        <w:t>. . .</w:t>
      </w:r>
      <w:r w:rsidRPr="00B2007D">
        <w:rPr>
          <w:sz w:val="20"/>
          <w:szCs w:val="20"/>
        </w:rPr>
        <w:t xml:space="preserve"> context is everything, and the question of fairness asks what else the parodist did besides go to the heart of the original. It is significant that 2 Live Crew not only copied the first line of the original, but thereafter departed markedly from the Orbison lyrics for its own ends. </w:t>
      </w:r>
      <w:r>
        <w:rPr>
          <w:sz w:val="20"/>
          <w:szCs w:val="20"/>
        </w:rPr>
        <w:t xml:space="preserve"> </w:t>
      </w:r>
      <w:r w:rsidRPr="00B2007D">
        <w:rPr>
          <w:sz w:val="20"/>
          <w:szCs w:val="20"/>
        </w:rPr>
        <w:t>2 Live Crew not only copied the bass riff</w:t>
      </w:r>
      <w:r>
        <w:rPr>
          <w:sz w:val="20"/>
          <w:szCs w:val="20"/>
        </w:rPr>
        <w:t xml:space="preserve"> </w:t>
      </w:r>
      <w:r w:rsidRPr="00B2007D">
        <w:rPr>
          <w:sz w:val="20"/>
          <w:szCs w:val="20"/>
        </w:rPr>
        <w:t>and repeated it, but also produced otherwise distinctive sounds, interposing "scraper" noise, overlaying the music with solos in different keys, and altering the drum beat.</w:t>
      </w:r>
      <w:r>
        <w:rPr>
          <w:sz w:val="20"/>
          <w:szCs w:val="20"/>
        </w:rPr>
        <w:t xml:space="preserve"> </w:t>
      </w:r>
      <w:r w:rsidRPr="00B2007D">
        <w:rPr>
          <w:sz w:val="20"/>
          <w:szCs w:val="20"/>
        </w:rPr>
        <w:t xml:space="preserve"> This is not a case, then, where "a substantial portion" of the parody itself is composed of a "verbatim" copying of the original. It is not, that is, a case where the parody is so insubstantial, as compared to the copying, that the third factor must be resolved as a matter of law against the parodists. </w:t>
      </w:r>
    </w:p>
    <w:p w:rsidR="00032A5B" w:rsidRPr="00B2007D" w:rsidRDefault="00032A5B" w:rsidP="00032A5B">
      <w:pPr>
        <w:pStyle w:val="NormalWeb"/>
        <w:rPr>
          <w:sz w:val="20"/>
          <w:szCs w:val="20"/>
        </w:rPr>
      </w:pPr>
      <w:r>
        <w:rPr>
          <w:sz w:val="20"/>
          <w:szCs w:val="20"/>
        </w:rPr>
        <w:t xml:space="preserve">. . . </w:t>
      </w:r>
      <w:r w:rsidRPr="00B2007D">
        <w:rPr>
          <w:sz w:val="20"/>
          <w:szCs w:val="20"/>
        </w:rPr>
        <w:t xml:space="preserve">As to the music, we express no opinion whether repetition of the bass riff is excessive copying, and we remand to permit evaluation of the amount taken, in light of the song's parodic purpose and character, its transformative elements, and considerations of the potential for market substitution sketched more fully below. </w:t>
      </w:r>
    </w:p>
    <w:p w:rsidR="00032A5B" w:rsidRPr="00B2007D" w:rsidRDefault="00032A5B" w:rsidP="00032A5B">
      <w:pPr>
        <w:pStyle w:val="Heading3"/>
        <w:ind w:left="0"/>
        <w:rPr>
          <w:sz w:val="20"/>
        </w:rPr>
      </w:pPr>
      <w:r w:rsidRPr="00B2007D">
        <w:rPr>
          <w:sz w:val="20"/>
        </w:rPr>
        <w:t xml:space="preserve">D </w:t>
      </w:r>
    </w:p>
    <w:p w:rsidR="00032A5B" w:rsidRPr="00B2007D" w:rsidRDefault="00032A5B" w:rsidP="00032A5B">
      <w:pPr>
        <w:pStyle w:val="NormalWeb"/>
        <w:rPr>
          <w:sz w:val="20"/>
          <w:szCs w:val="20"/>
        </w:rPr>
      </w:pPr>
      <w:r w:rsidRPr="00B2007D">
        <w:rPr>
          <w:sz w:val="20"/>
          <w:szCs w:val="20"/>
        </w:rPr>
        <w:t xml:space="preserve">The fourth fair use factor is "the effect of the use upon the potential market for or value of the copyrighted work." 107(4). </w:t>
      </w:r>
      <w:r>
        <w:rPr>
          <w:sz w:val="20"/>
          <w:szCs w:val="20"/>
        </w:rPr>
        <w:t xml:space="preserve"> </w:t>
      </w:r>
      <w:r w:rsidRPr="00B2007D">
        <w:rPr>
          <w:sz w:val="20"/>
          <w:szCs w:val="20"/>
        </w:rPr>
        <w:t>It requires courts to consider not only the extent of market harm caused by the particular actions of the alleged infringer, but also "whether unrestricted and widespread conduct of the sort engaged in by the defendant . . . would result in a substantially adverse impact on the potential market" for the original.</w:t>
      </w:r>
      <w:r>
        <w:rPr>
          <w:sz w:val="20"/>
          <w:szCs w:val="20"/>
        </w:rPr>
        <w:t xml:space="preserve"> . . .</w:t>
      </w:r>
      <w:r w:rsidRPr="00B2007D">
        <w:rPr>
          <w:sz w:val="20"/>
          <w:szCs w:val="20"/>
        </w:rPr>
        <w:t xml:space="preserve"> </w:t>
      </w:r>
    </w:p>
    <w:p w:rsidR="00032A5B" w:rsidRPr="00B2007D" w:rsidRDefault="00032A5B" w:rsidP="00032A5B">
      <w:pPr>
        <w:pStyle w:val="NormalWeb"/>
        <w:rPr>
          <w:sz w:val="20"/>
          <w:szCs w:val="20"/>
        </w:rPr>
      </w:pPr>
      <w:r w:rsidRPr="00B2007D">
        <w:rPr>
          <w:sz w:val="20"/>
          <w:szCs w:val="20"/>
        </w:rPr>
        <w:t xml:space="preserve">We do not, of course, suggest that a parody may not harm the market at all, but when a lethal parody, like a scathing theater review, kills demand for the original, it does not produce a harm cognizable under the Copyright Act. </w:t>
      </w:r>
      <w:r>
        <w:rPr>
          <w:sz w:val="20"/>
          <w:szCs w:val="20"/>
        </w:rPr>
        <w:t xml:space="preserve"> </w:t>
      </w:r>
      <w:r w:rsidRPr="00B2007D">
        <w:rPr>
          <w:sz w:val="20"/>
          <w:szCs w:val="20"/>
        </w:rPr>
        <w:t>Because "parody may quite legitimately aim at garroting the original, destroying it commercially as</w:t>
      </w:r>
      <w:r w:rsidRPr="00B2007D">
        <w:rPr>
          <w:color w:val="005500"/>
          <w:sz w:val="20"/>
          <w:szCs w:val="20"/>
        </w:rPr>
        <w:t xml:space="preserve"> </w:t>
      </w:r>
      <w:r w:rsidRPr="00B2007D">
        <w:rPr>
          <w:sz w:val="20"/>
          <w:szCs w:val="20"/>
        </w:rPr>
        <w:t xml:space="preserve">well as artistically," </w:t>
      </w:r>
      <w:r>
        <w:rPr>
          <w:sz w:val="20"/>
          <w:szCs w:val="20"/>
        </w:rPr>
        <w:t xml:space="preserve">. . . . </w:t>
      </w:r>
      <w:r w:rsidRPr="00B2007D">
        <w:rPr>
          <w:sz w:val="20"/>
          <w:szCs w:val="20"/>
        </w:rPr>
        <w:t>the role of the courts is to distinguish between "[b]iting criticism [that merely] suppresses demand [and] copyright infringement[, which] usurps it."</w:t>
      </w:r>
      <w:r>
        <w:rPr>
          <w:sz w:val="20"/>
          <w:szCs w:val="20"/>
        </w:rPr>
        <w:t xml:space="preserve"> . . .</w:t>
      </w:r>
      <w:r w:rsidRPr="00B2007D">
        <w:rPr>
          <w:sz w:val="20"/>
          <w:szCs w:val="20"/>
        </w:rPr>
        <w:t xml:space="preserve"> </w:t>
      </w:r>
    </w:p>
    <w:p w:rsidR="00032A5B" w:rsidRPr="00B2007D" w:rsidRDefault="00032A5B" w:rsidP="00032A5B">
      <w:pPr>
        <w:pStyle w:val="NormalWeb"/>
        <w:rPr>
          <w:sz w:val="20"/>
          <w:szCs w:val="20"/>
        </w:rPr>
      </w:pPr>
      <w:r w:rsidRPr="00B2007D">
        <w:rPr>
          <w:sz w:val="20"/>
          <w:szCs w:val="20"/>
        </w:rPr>
        <w:t xml:space="preserve">Although 2 Live Crew submitted uncontroverted affidavits on the question of market harm to the original, neither they nor Acuff-Rose introduced evidence or affidavits addressing the likely effect of 2 Live Crew's parodic rap song on the market for a non-parody, rap version of "Oh, Pretty Woman." </w:t>
      </w:r>
      <w:r>
        <w:rPr>
          <w:sz w:val="20"/>
          <w:szCs w:val="20"/>
        </w:rPr>
        <w:t xml:space="preserve"> </w:t>
      </w:r>
      <w:r w:rsidRPr="00B2007D">
        <w:rPr>
          <w:sz w:val="20"/>
          <w:szCs w:val="20"/>
        </w:rPr>
        <w:t>And while Acuff-Rose would have us find evidence of a rap market in the very facts that 2 Live Crew recorded a rap parody of "Oh, Pretty Woman" and another rap group sought a license to record a rap derivative, there was no evidence that a potential rap market was harmed in any way by 2 Live Crew's parody, ra</w:t>
      </w:r>
      <w:r>
        <w:rPr>
          <w:sz w:val="20"/>
          <w:szCs w:val="20"/>
        </w:rPr>
        <w:t>p version. . . .</w:t>
      </w:r>
    </w:p>
    <w:p w:rsidR="00032A5B" w:rsidRPr="00B2007D" w:rsidRDefault="00032A5B" w:rsidP="00032A5B">
      <w:pPr>
        <w:pStyle w:val="Heading3"/>
        <w:ind w:left="0"/>
        <w:rPr>
          <w:sz w:val="20"/>
        </w:rPr>
      </w:pPr>
      <w:r w:rsidRPr="00B2007D">
        <w:rPr>
          <w:sz w:val="20"/>
        </w:rPr>
        <w:t xml:space="preserve">III </w:t>
      </w:r>
    </w:p>
    <w:p w:rsidR="00032A5B" w:rsidRPr="00B2007D" w:rsidRDefault="00032A5B" w:rsidP="00032A5B">
      <w:pPr>
        <w:pStyle w:val="NormalWeb"/>
        <w:rPr>
          <w:sz w:val="20"/>
          <w:szCs w:val="20"/>
        </w:rPr>
      </w:pPr>
      <w:r w:rsidRPr="00B2007D">
        <w:rPr>
          <w:sz w:val="20"/>
          <w:szCs w:val="20"/>
        </w:rPr>
        <w:t>It was error for the Court of Appeals to conclude that the commercial nature of 2 Live Crew's parody of "Oh, Pretty Woman" rendered it presumptively unfair.</w:t>
      </w:r>
      <w:r>
        <w:rPr>
          <w:sz w:val="20"/>
          <w:szCs w:val="20"/>
        </w:rPr>
        <w:t xml:space="preserve"> </w:t>
      </w:r>
      <w:r w:rsidRPr="00B2007D">
        <w:rPr>
          <w:sz w:val="20"/>
          <w:szCs w:val="20"/>
        </w:rPr>
        <w:t xml:space="preserve"> No such evidentiary presumption is available to address either the first factor, the character and purpose of the use, or the fourth, market harm, in determining whether a transformative use, such as parody, is a fair one. The court also erred in holding that 2 Live Crew had necessarily copied excessively from the Orbison original, considering the parodic purpose of the use. </w:t>
      </w:r>
      <w:r>
        <w:rPr>
          <w:sz w:val="20"/>
          <w:szCs w:val="20"/>
        </w:rPr>
        <w:t xml:space="preserve"> </w:t>
      </w:r>
      <w:r w:rsidRPr="00B2007D">
        <w:rPr>
          <w:sz w:val="20"/>
          <w:szCs w:val="20"/>
        </w:rPr>
        <w:t xml:space="preserve">We therefore reverse the judgment of the Court of Appeals and remand for further proceedings consistent with this opinion. </w:t>
      </w:r>
    </w:p>
    <w:p w:rsidR="00032A5B" w:rsidRDefault="00032A5B" w:rsidP="00032A5B">
      <w:pPr>
        <w:pStyle w:val="NormalWeb"/>
        <w:rPr>
          <w:sz w:val="20"/>
          <w:szCs w:val="20"/>
        </w:rPr>
      </w:pPr>
      <w:r>
        <w:rPr>
          <w:sz w:val="20"/>
          <w:szCs w:val="20"/>
        </w:rPr>
        <w:t>It is so ordered.</w:t>
      </w:r>
    </w:p>
    <w:p w:rsidR="00032A5B" w:rsidRDefault="00032A5B" w:rsidP="00032A5B">
      <w:pPr>
        <w:jc w:val="center"/>
      </w:pPr>
    </w:p>
    <w:p w:rsidR="00593FED" w:rsidRDefault="00593FED" w:rsidP="00032A5B">
      <w:pPr>
        <w:jc w:val="center"/>
      </w:pPr>
    </w:p>
    <w:p w:rsidR="00593FED" w:rsidRDefault="00593FED" w:rsidP="00032A5B">
      <w:pPr>
        <w:jc w:val="center"/>
      </w:pPr>
    </w:p>
    <w:p w:rsidR="00032A5B" w:rsidRDefault="00032A5B" w:rsidP="00032A5B">
      <w:pPr>
        <w:jc w:val="center"/>
      </w:pPr>
      <w:r w:rsidRPr="00B2007D">
        <w:lastRenderedPageBreak/>
        <w:t>Appendix A</w:t>
      </w:r>
    </w:p>
    <w:p w:rsidR="00032A5B" w:rsidRDefault="00032A5B" w:rsidP="00032A5B">
      <w:pPr>
        <w:jc w:val="center"/>
      </w:pPr>
      <w:r w:rsidRPr="00B2007D">
        <w:t xml:space="preserve">"Oh, Pretty Woman" by Roy Orbison and William Dees </w:t>
      </w:r>
    </w:p>
    <w:p w:rsidR="00032A5B" w:rsidRPr="00B2007D" w:rsidRDefault="00032A5B" w:rsidP="00032A5B">
      <w:pPr>
        <w:ind w:left="720"/>
      </w:pPr>
    </w:p>
    <w:p w:rsidR="00032A5B" w:rsidRPr="00B2007D" w:rsidRDefault="00032A5B" w:rsidP="00032A5B">
      <w:r w:rsidRPr="00B2007D">
        <w:t xml:space="preserve">Pretty Woman, walking down the street, Pretty Woman, the kind I like to meet, Pretty Woman, I don't believe you, you're not the truth, No one could look as good as you Mercy </w:t>
      </w:r>
    </w:p>
    <w:p w:rsidR="00032A5B" w:rsidRPr="00B2007D" w:rsidRDefault="00032A5B" w:rsidP="00032A5B">
      <w:pPr>
        <w:pStyle w:val="NormalWeb"/>
        <w:rPr>
          <w:sz w:val="20"/>
        </w:rPr>
      </w:pPr>
      <w:r w:rsidRPr="00B2007D">
        <w:rPr>
          <w:sz w:val="20"/>
        </w:rPr>
        <w:t xml:space="preserve">Pretty Woman, won't you pardon me, Pretty Woman, I couldn't help but see, Pretty Woman, that you look lovely as can be Are you lonely just like me? </w:t>
      </w:r>
    </w:p>
    <w:p w:rsidR="00032A5B" w:rsidRPr="00B2007D" w:rsidRDefault="00032A5B" w:rsidP="00032A5B">
      <w:pPr>
        <w:pStyle w:val="NormalWeb"/>
        <w:rPr>
          <w:sz w:val="20"/>
        </w:rPr>
      </w:pPr>
      <w:r w:rsidRPr="00B2007D">
        <w:rPr>
          <w:sz w:val="20"/>
        </w:rPr>
        <w:t xml:space="preserve">Pretty Woman, stop a while, Pretty Woman, talk a while, Pretty Woman give your smile to me Pretty woman, yeah, yeah, yeah Pretty Woman, look my way, Pretty Woman, say you'll stay with me Cause I need you, I'll treat you right Come to me baby, Be mine tonight </w:t>
      </w:r>
    </w:p>
    <w:p w:rsidR="00032A5B" w:rsidRPr="00CC6E73" w:rsidRDefault="00032A5B" w:rsidP="00032A5B">
      <w:pPr>
        <w:pStyle w:val="NormalWeb"/>
        <w:rPr>
          <w:sz w:val="20"/>
          <w:szCs w:val="20"/>
        </w:rPr>
      </w:pPr>
      <w:r w:rsidRPr="00B2007D">
        <w:rPr>
          <w:sz w:val="20"/>
        </w:rPr>
        <w:t xml:space="preserve">Pretty Woman, don't walk on by, Pretty Woman, don't make me cry, Pretty Woman, don't walk away, Hey, O.K. If that's the way it must be, O.K. I guess I'll go on home, it's late There'll be tomorrow night, but wait! </w:t>
      </w:r>
    </w:p>
    <w:p w:rsidR="00032A5B" w:rsidRPr="00CC6E73" w:rsidRDefault="00032A5B" w:rsidP="00032A5B">
      <w:pPr>
        <w:pStyle w:val="NormalWeb"/>
        <w:rPr>
          <w:sz w:val="20"/>
          <w:szCs w:val="20"/>
        </w:rPr>
      </w:pPr>
      <w:r w:rsidRPr="00CC6E73">
        <w:rPr>
          <w:sz w:val="20"/>
          <w:szCs w:val="20"/>
        </w:rPr>
        <w:t>What do I see Is she walking back to me? Yeah, she's walking back to me! Oh, Pretty Woman.</w:t>
      </w:r>
    </w:p>
    <w:p w:rsidR="00032A5B" w:rsidRDefault="00032A5B" w:rsidP="00032A5B">
      <w:pPr>
        <w:ind w:left="720"/>
        <w:jc w:val="center"/>
      </w:pPr>
    </w:p>
    <w:p w:rsidR="00032A5B" w:rsidRDefault="00032A5B" w:rsidP="00032A5B">
      <w:pPr>
        <w:ind w:left="720"/>
        <w:jc w:val="center"/>
      </w:pPr>
    </w:p>
    <w:p w:rsidR="00032A5B" w:rsidRPr="00CC6E73" w:rsidRDefault="00032A5B" w:rsidP="00032A5B">
      <w:pPr>
        <w:ind w:left="720"/>
        <w:jc w:val="center"/>
      </w:pPr>
      <w:r w:rsidRPr="00CC6E73">
        <w:t>Appendix B</w:t>
      </w:r>
    </w:p>
    <w:p w:rsidR="00032A5B" w:rsidRDefault="00032A5B" w:rsidP="00032A5B">
      <w:pPr>
        <w:ind w:left="720"/>
        <w:jc w:val="center"/>
      </w:pPr>
      <w:r w:rsidRPr="00B2007D">
        <w:t xml:space="preserve">"Pretty Woman" as Recorded by 2 Live Crew </w:t>
      </w:r>
    </w:p>
    <w:p w:rsidR="00032A5B" w:rsidRPr="00B2007D" w:rsidRDefault="00032A5B" w:rsidP="00032A5B">
      <w:pPr>
        <w:ind w:left="720"/>
      </w:pPr>
    </w:p>
    <w:p w:rsidR="00032A5B" w:rsidRPr="00B2007D" w:rsidRDefault="00032A5B" w:rsidP="00032A5B">
      <w:r w:rsidRPr="00B2007D">
        <w:t xml:space="preserve">Pretty woman walkin' down the street Pretty woman girl you look so sweet Pretty woman you bring me down to that knee Pretty woman you make me wanna beg please Oh, pretty woman </w:t>
      </w:r>
    </w:p>
    <w:p w:rsidR="00032A5B" w:rsidRPr="00B2007D" w:rsidRDefault="00032A5B" w:rsidP="00032A5B">
      <w:pPr>
        <w:pStyle w:val="NormalWeb"/>
        <w:rPr>
          <w:sz w:val="20"/>
        </w:rPr>
      </w:pPr>
      <w:r w:rsidRPr="00B2007D">
        <w:rPr>
          <w:sz w:val="20"/>
        </w:rPr>
        <w:t xml:space="preserve">Big hairy woman you need to shave that stuff Big hairy woman you know I bet it's tough Big hairy woman all that hair it ain't legit Cause you look like "Cousin It" Big hairy woman </w:t>
      </w:r>
    </w:p>
    <w:p w:rsidR="00032A5B" w:rsidRPr="00B2007D" w:rsidRDefault="00032A5B" w:rsidP="00032A5B">
      <w:pPr>
        <w:pStyle w:val="NormalWeb"/>
        <w:rPr>
          <w:sz w:val="20"/>
        </w:rPr>
      </w:pPr>
      <w:r w:rsidRPr="00B2007D">
        <w:rPr>
          <w:sz w:val="20"/>
        </w:rPr>
        <w:t xml:space="preserve">Bald headed woman girl your hair won't grow Bald headed woman you got a teeny weeny afro Bald headed woman you know your hair could look nice Bald headed woman first you got to roll it with rice Bald headed woman here, let me get this hunk of biz for ya know what I'm saying you look better than rice a roni Oh bald headed woman </w:t>
      </w:r>
    </w:p>
    <w:p w:rsidR="00032A5B" w:rsidRPr="00B2007D" w:rsidRDefault="00032A5B" w:rsidP="00032A5B">
      <w:pPr>
        <w:pStyle w:val="NormalWeb"/>
        <w:rPr>
          <w:sz w:val="20"/>
        </w:rPr>
      </w:pPr>
      <w:r w:rsidRPr="00B2007D">
        <w:rPr>
          <w:sz w:val="20"/>
        </w:rPr>
        <w:t xml:space="preserve">Big hairy woman come on in And don't forget your bald headed friend Hey pretty woman let the boys Jump in </w:t>
      </w:r>
    </w:p>
    <w:p w:rsidR="00032A5B" w:rsidRDefault="00032A5B" w:rsidP="00032A5B">
      <w:pPr>
        <w:pStyle w:val="Heading3"/>
        <w:ind w:left="0" w:firstLine="0"/>
        <w:rPr>
          <w:sz w:val="20"/>
        </w:rPr>
      </w:pPr>
      <w:r w:rsidRPr="00B2007D">
        <w:rPr>
          <w:sz w:val="20"/>
        </w:rPr>
        <w:t>Two timin' woman girl you know you ain't right Two timin' woman you's out with my boy last night Two timin' woman that takes a load off my mind Two timin' woman now I know the baby ain't mine Oh, t</w:t>
      </w:r>
      <w:r>
        <w:rPr>
          <w:sz w:val="20"/>
        </w:rPr>
        <w:t>wo timin' woman Oh pretty woman</w:t>
      </w:r>
    </w:p>
    <w:p w:rsidR="00032A5B" w:rsidRPr="009D44B5" w:rsidRDefault="00032A5B" w:rsidP="00032A5B"/>
    <w:p w:rsidR="00032A5B" w:rsidRPr="000E2826" w:rsidRDefault="00032A5B" w:rsidP="00032A5B">
      <w:pPr>
        <w:jc w:val="center"/>
        <w:rPr>
          <w:bCs/>
        </w:rPr>
      </w:pPr>
      <w:r>
        <w:br w:type="page"/>
      </w:r>
      <w:r w:rsidRPr="000E2826">
        <w:rPr>
          <w:bCs/>
        </w:rPr>
        <w:lastRenderedPageBreak/>
        <w:t>TWO PESOS, INC., PETITIONER v. TACO CABANA, INC.</w:t>
      </w:r>
    </w:p>
    <w:p w:rsidR="00032A5B" w:rsidRPr="000E2826" w:rsidRDefault="00032A5B" w:rsidP="00032A5B">
      <w:pPr>
        <w:rPr>
          <w:bCs/>
        </w:rPr>
      </w:pPr>
    </w:p>
    <w:p w:rsidR="00032A5B" w:rsidRPr="000E2826" w:rsidRDefault="00032A5B" w:rsidP="00032A5B">
      <w:pPr>
        <w:ind w:left="1200" w:right="1200"/>
        <w:jc w:val="center"/>
        <w:rPr>
          <w:bCs/>
        </w:rPr>
      </w:pPr>
      <w:r w:rsidRPr="000E2826">
        <w:rPr>
          <w:bCs/>
        </w:rPr>
        <w:t xml:space="preserve">Supreme Court </w:t>
      </w:r>
      <w:r>
        <w:rPr>
          <w:bCs/>
        </w:rPr>
        <w:t>of the</w:t>
      </w:r>
      <w:r w:rsidRPr="000E2826">
        <w:rPr>
          <w:bCs/>
        </w:rPr>
        <w:t xml:space="preserve"> </w:t>
      </w:r>
      <w:smartTag w:uri="urn:schemas-microsoft-com:office:smarttags" w:element="place">
        <w:smartTag w:uri="urn:schemas-microsoft-com:office:smarttags" w:element="country-region">
          <w:r w:rsidRPr="000E2826">
            <w:rPr>
              <w:bCs/>
            </w:rPr>
            <w:t>United States</w:t>
          </w:r>
        </w:smartTag>
      </w:smartTag>
    </w:p>
    <w:p w:rsidR="00032A5B" w:rsidRPr="000E2826" w:rsidRDefault="00032A5B" w:rsidP="00032A5B">
      <w:pPr>
        <w:rPr>
          <w:bCs/>
        </w:rPr>
      </w:pPr>
    </w:p>
    <w:p w:rsidR="00032A5B" w:rsidRPr="000E2826" w:rsidRDefault="00032A5B" w:rsidP="00032A5B">
      <w:pPr>
        <w:ind w:left="1200" w:right="1200"/>
        <w:jc w:val="center"/>
        <w:rPr>
          <w:bCs/>
        </w:rPr>
      </w:pPr>
      <w:r w:rsidRPr="000E2826">
        <w:rPr>
          <w:bCs/>
        </w:rPr>
        <w:t xml:space="preserve">505 </w:t>
      </w:r>
      <w:smartTag w:uri="urn:schemas-microsoft-com:office:smarttags" w:element="place">
        <w:smartTag w:uri="urn:schemas-microsoft-com:office:smarttags" w:element="country-region">
          <w:r w:rsidRPr="000E2826">
            <w:rPr>
              <w:bCs/>
            </w:rPr>
            <w:t>U.S.</w:t>
          </w:r>
        </w:smartTag>
      </w:smartTag>
      <w:r w:rsidRPr="000E2826">
        <w:rPr>
          <w:bCs/>
        </w:rPr>
        <w:t xml:space="preserve"> 763</w:t>
      </w:r>
    </w:p>
    <w:p w:rsidR="00032A5B" w:rsidRPr="000E2826" w:rsidRDefault="00032A5B" w:rsidP="00032A5B">
      <w:pPr>
        <w:ind w:left="1200" w:right="1200"/>
        <w:jc w:val="center"/>
        <w:rPr>
          <w:bCs/>
        </w:rPr>
      </w:pPr>
      <w:smartTag w:uri="urn:schemas-microsoft-com:office:smarttags" w:element="date">
        <w:smartTagPr>
          <w:attr w:name="Year" w:val="1992"/>
          <w:attr w:name="Day" w:val="26"/>
          <w:attr w:name="Month" w:val="6"/>
          <w:attr w:name="ls" w:val="trans"/>
        </w:smartTagPr>
        <w:r w:rsidRPr="000E2826">
          <w:rPr>
            <w:bCs/>
          </w:rPr>
          <w:t>June 26, 1992</w:t>
        </w:r>
      </w:smartTag>
    </w:p>
    <w:p w:rsidR="00032A5B" w:rsidRPr="000E2826" w:rsidRDefault="00032A5B" w:rsidP="00032A5B">
      <w:pPr>
        <w:rPr>
          <w:bCs/>
        </w:rPr>
      </w:pPr>
    </w:p>
    <w:p w:rsidR="00032A5B" w:rsidRDefault="00032A5B" w:rsidP="00032A5B"/>
    <w:p w:rsidR="00032A5B" w:rsidRDefault="00032A5B" w:rsidP="00032A5B">
      <w:r>
        <w:t>WHITE, J., delivered the opinion of the Court, in which REHNQUIST, C. J., and BLACKMUN, O'CONNOR, SCALIA, KENNEDY, and SOUTER, JJ., joined. SCALIA, J., filed a concurring opinion.  STEVENS, J. and THOMAS, J., filed opinions concurring in the judgment.</w:t>
      </w:r>
    </w:p>
    <w:p w:rsidR="00032A5B" w:rsidRDefault="00032A5B" w:rsidP="00032A5B"/>
    <w:p w:rsidR="00032A5B" w:rsidRDefault="00032A5B" w:rsidP="00032A5B">
      <w:pPr>
        <w:spacing w:before="120"/>
      </w:pPr>
      <w:r>
        <w:t>The issue in this case is whether the trade dress of a restaurant may be protected under § 43(a) of the Trademark Act of 1946 (Lanham Act), based on a finding of inherent distinctiveness, without proof that the trade dress has secondary meaning.</w:t>
      </w:r>
    </w:p>
    <w:p w:rsidR="00032A5B" w:rsidRDefault="00032A5B" w:rsidP="00032A5B">
      <w:pPr>
        <w:spacing w:before="120"/>
      </w:pPr>
    </w:p>
    <w:p w:rsidR="00032A5B" w:rsidRDefault="00032A5B" w:rsidP="00032A5B">
      <w:pPr>
        <w:spacing w:before="120"/>
      </w:pPr>
      <w:r>
        <w:t>I</w:t>
      </w:r>
    </w:p>
    <w:p w:rsidR="00032A5B" w:rsidRDefault="00032A5B" w:rsidP="00032A5B">
      <w:pPr>
        <w:spacing w:before="120"/>
      </w:pPr>
      <w:r>
        <w:t xml:space="preserve">Respondent Taco Cabana, Inc., operates a chain of fast-food restaurants in </w:t>
      </w:r>
      <w:smartTag w:uri="urn:schemas-microsoft-com:office:smarttags" w:element="place">
        <w:smartTag w:uri="urn:schemas-microsoft-com:office:smarttags" w:element="State">
          <w:r>
            <w:t>Texas</w:t>
          </w:r>
        </w:smartTag>
      </w:smartTag>
      <w:r>
        <w:t xml:space="preserve">. The restaurants serve Mexican food. The first Taco Cabana restaurant was opened in </w:t>
      </w:r>
      <w:smartTag w:uri="urn:schemas-microsoft-com:office:smarttags" w:element="City">
        <w:r>
          <w:t>San Antonio</w:t>
        </w:r>
      </w:smartTag>
      <w:r>
        <w:t xml:space="preserve"> in September 1978, and five more restaurants had been opened in </w:t>
      </w:r>
      <w:smartTag w:uri="urn:schemas-microsoft-com:office:smarttags" w:element="place">
        <w:smartTag w:uri="urn:schemas-microsoft-com:office:smarttags" w:element="City">
          <w:r>
            <w:t>San Antonio</w:t>
          </w:r>
        </w:smartTag>
      </w:smartTag>
      <w:r>
        <w:t xml:space="preserve"> by 1985. Taco Cabana describes its Mexican trade dress as</w:t>
      </w:r>
    </w:p>
    <w:p w:rsidR="00032A5B" w:rsidRDefault="00032A5B" w:rsidP="00032A5B"/>
    <w:p w:rsidR="00032A5B" w:rsidRDefault="00032A5B" w:rsidP="00032A5B">
      <w:pPr>
        <w:ind w:left="600" w:right="600"/>
      </w:pPr>
      <w:r>
        <w:rPr>
          <w:sz w:val="16"/>
          <w:szCs w:val="16"/>
        </w:rPr>
        <w:t>"a festive eating atmosphere having interior dining and patio areas decorated with artifacts, bright colors, paintings and murals. The patio includes interior and exterior areas with the interior patio capable of being sealed off from the outside patio by overhead garage doors. The stepped exterior of the building is a festive and vivid color scheme using top border paint and neon stripes. Bright awnings and umbrellas continue the theme."</w:t>
      </w:r>
    </w:p>
    <w:p w:rsidR="00032A5B" w:rsidRDefault="00032A5B" w:rsidP="00032A5B"/>
    <w:p w:rsidR="00032A5B" w:rsidRDefault="00032A5B" w:rsidP="00032A5B">
      <w:pPr>
        <w:spacing w:before="120"/>
      </w:pPr>
      <w:r>
        <w:t xml:space="preserve">In December 1985, a Two Pesos, Inc., restaurant was opened in </w:t>
      </w:r>
      <w:smartTag w:uri="urn:schemas-microsoft-com:office:smarttags" w:element="place">
        <w:smartTag w:uri="urn:schemas-microsoft-com:office:smarttags" w:element="City">
          <w:r>
            <w:t>Houston</w:t>
          </w:r>
        </w:smartTag>
      </w:smartTag>
      <w:r>
        <w:t xml:space="preserve">. Two Pesos adopted a motif very similar to the foregoing description of Taco Cabana's trade dress. Two Pesos restaurants expanded rapidly in </w:t>
      </w:r>
      <w:smartTag w:uri="urn:schemas-microsoft-com:office:smarttags" w:element="City">
        <w:r>
          <w:t>Houston</w:t>
        </w:r>
      </w:smartTag>
      <w:r>
        <w:t xml:space="preserve"> and other markets, but did not enter </w:t>
      </w:r>
      <w:smartTag w:uri="urn:schemas-microsoft-com:office:smarttags" w:element="place">
        <w:smartTag w:uri="urn:schemas-microsoft-com:office:smarttags" w:element="City">
          <w:r>
            <w:t>San Antonio</w:t>
          </w:r>
        </w:smartTag>
      </w:smartTag>
      <w:r>
        <w:t xml:space="preserve">. In 1986, Taco Cabana entered the Houston and Austin markets and expanded into other </w:t>
      </w:r>
      <w:smartTag w:uri="urn:schemas-microsoft-com:office:smarttags" w:element="State">
        <w:r>
          <w:t>Texas</w:t>
        </w:r>
      </w:smartTag>
      <w:r>
        <w:t xml:space="preserve"> cities, including </w:t>
      </w:r>
      <w:smartTag w:uri="urn:schemas-microsoft-com:office:smarttags" w:element="City">
        <w:r>
          <w:t>Dallas</w:t>
        </w:r>
      </w:smartTag>
      <w:r>
        <w:t xml:space="preserve"> and </w:t>
      </w:r>
      <w:smartTag w:uri="urn:schemas-microsoft-com:office:smarttags" w:element="place">
        <w:smartTag w:uri="urn:schemas-microsoft-com:office:smarttags" w:element="City">
          <w:r>
            <w:t>El Paso</w:t>
          </w:r>
        </w:smartTag>
      </w:smartTag>
      <w:r>
        <w:t xml:space="preserve"> where Two Pesos was also doing business.</w:t>
      </w:r>
    </w:p>
    <w:p w:rsidR="00032A5B" w:rsidRDefault="00032A5B" w:rsidP="00032A5B">
      <w:pPr>
        <w:spacing w:before="120"/>
      </w:pPr>
      <w:r>
        <w:t>In 1987, Taco Cabana sued Two Pesos in the United States District Court for the Southern District of Texas for trade dress infringement under § 43(a) of the Lanham Act and for theft of trade secrets under Texas common law. The case was tried to a jury, which was instructed to return its verdict in the form of answers to five questions propounded by the trial judge. The jury's answers were: Taco Cabana has a trade dress; taken as a whole, the trade dress is nonfunctional; the trade dress is inherently distinctive; the trade dress has not acquired a secondary meaning</w:t>
      </w:r>
      <w:r>
        <w:rPr>
          <w:sz w:val="16"/>
          <w:szCs w:val="16"/>
          <w:vertAlign w:val="superscript"/>
        </w:rPr>
        <w:t>4</w:t>
      </w:r>
      <w:r>
        <w:t xml:space="preserve"> in the Texas market; and the alleged infringement creates a likelihood of confusion on the part of ordinary customers as to the source or association of the restaurant's goods or services. Because, as the jury was told, Taco Cabana's trade dress was protected if it either was inherently distinctive or had acquired a secondary meaning, judgment was entered awarding damages to Taco Cabana. In the course of calculating damages, the trial court held that Two Pesos had intentionally and deliberately infringed Taco Cabana's trade dress.</w:t>
      </w:r>
    </w:p>
    <w:p w:rsidR="00032A5B" w:rsidRDefault="00032A5B" w:rsidP="00032A5B"/>
    <w:p w:rsidR="00032A5B" w:rsidRDefault="00032A5B" w:rsidP="00032A5B">
      <w:pPr>
        <w:ind w:left="600"/>
        <w:rPr>
          <w:sz w:val="16"/>
          <w:szCs w:val="16"/>
        </w:rPr>
      </w:pPr>
      <w:r>
        <w:rPr>
          <w:sz w:val="16"/>
          <w:szCs w:val="16"/>
        </w:rPr>
        <w:t>Secondary meaning is used generally to indicate that a mark or dress "has come through use to be uniquely associated with a specific source." Restatement (Third) of Unfair Competition § 13.  "To establish secondary meaning, a manufacturer must show that, in the minds of the public, the primary significance of a product feature or term is to identify the source of the product rather than the product itself."</w:t>
      </w:r>
    </w:p>
    <w:p w:rsidR="00032A5B" w:rsidRDefault="00032A5B" w:rsidP="00032A5B">
      <w:pPr>
        <w:spacing w:before="120"/>
      </w:pPr>
      <w:r>
        <w:t>The Court of Appeals ruled that the instructions adequately stated the applicable law and that the evidence supported the jury's findings. In particular, the Court of Appeals rejected petitioner's argument that a finding of no secondary meaning contradicted a finding of inherent distinctiveness.</w:t>
      </w:r>
    </w:p>
    <w:p w:rsidR="00032A5B" w:rsidRDefault="00032A5B" w:rsidP="00032A5B">
      <w:pPr>
        <w:spacing w:before="120"/>
      </w:pPr>
      <w:r>
        <w:t xml:space="preserve">In so holding, the court below followed precedent in the Fifth Circuit . .  that trademark law requires a demonstration of secondary meaning only when the claimed trademark is not sufficiently distinctive of itself to identify the producer; the court held that the same principles should apply to protection of trade dresses. The Court of Appeals noted that this approach conflicts with decisions of other courts, particularly the holding of the Court of Appeals for the Second Circuit.  We granted certiorari to resolve the conflict among the Courts of Appeals on the question whether trade dress that is </w:t>
      </w:r>
      <w:r>
        <w:lastRenderedPageBreak/>
        <w:t>inherently distinctive is protectible under § 43(a) without a showing that it has acquired secondary meaning. We find that it is, and we therefore affirm.</w:t>
      </w:r>
    </w:p>
    <w:p w:rsidR="00032A5B" w:rsidRDefault="00032A5B" w:rsidP="00032A5B"/>
    <w:p w:rsidR="00032A5B" w:rsidRDefault="00032A5B" w:rsidP="00032A5B">
      <w:pPr>
        <w:spacing w:before="120"/>
      </w:pPr>
      <w:r>
        <w:t>II</w:t>
      </w:r>
    </w:p>
    <w:p w:rsidR="00032A5B" w:rsidRDefault="00032A5B" w:rsidP="00032A5B"/>
    <w:p w:rsidR="00032A5B" w:rsidRDefault="00032A5B" w:rsidP="00032A5B">
      <w:r>
        <w:t xml:space="preserve">The Lanham Act was intended to make "actionable the deceptive and misleading use of marks" and "to protect persons  engaged in . . . commerce against unfair competition.". . . </w:t>
      </w:r>
    </w:p>
    <w:p w:rsidR="00032A5B" w:rsidRDefault="00032A5B" w:rsidP="00032A5B"/>
    <w:p w:rsidR="00032A5B" w:rsidRDefault="00032A5B" w:rsidP="00032A5B">
      <w:r>
        <w:t xml:space="preserve">A trademark is defined in 15 U.S.C. § 1127 as including "any word, name, symbol, or device or any combination thereof" used by any person "to identify and distinguish his or her goods, including a unique product, from those manufactured or sold by others and to indicate the source of the goods, even if that source is unknown." In order to be registered, a mark must be capable of distinguishing the applicant's goods from those of others. . . . </w:t>
      </w:r>
    </w:p>
    <w:p w:rsidR="00032A5B" w:rsidRDefault="00032A5B" w:rsidP="00032A5B">
      <w:pPr>
        <w:spacing w:before="120"/>
      </w:pPr>
      <w:r>
        <w:t>Marks which are merely descriptive of a product are not inherently distinctive. When used to describe a product, they do not inherently identify a particular source, and hence cannot be protected. However, descriptive marks may acquire the distinctiveness which will allow them to be protected under the Act. Section 2 of the Lanham Act provides that a descriptive mark that otherwise could not be registered under the Act may be registered if it "has become distinctive of the applicant's goods in commerce." . . . This acquired distinctiveness is generally called "secondary meaning." . . .</w:t>
      </w:r>
    </w:p>
    <w:p w:rsidR="00032A5B" w:rsidRDefault="00032A5B" w:rsidP="00032A5B">
      <w:r>
        <w:t xml:space="preserve"> </w:t>
      </w:r>
    </w:p>
    <w:p w:rsidR="00032A5B" w:rsidRDefault="00032A5B" w:rsidP="00032A5B">
      <w:r>
        <w:t xml:space="preserve">The general rule regarding distinctiveness is clear: An identifying mark is distinctive and capable of being protected if it </w:t>
      </w:r>
      <w:r>
        <w:rPr>
          <w:i/>
          <w:iCs/>
        </w:rPr>
        <w:t>either</w:t>
      </w:r>
      <w:r>
        <w:t xml:space="preserve"> (1) is inherently distinctive </w:t>
      </w:r>
      <w:r>
        <w:rPr>
          <w:i/>
          <w:iCs/>
        </w:rPr>
        <w:t>or</w:t>
      </w:r>
      <w:r>
        <w:t xml:space="preserve"> (2) has acquired distinctiveness through secondary meaning. . . . It is, of course, also undisputed that liability. . . requires proof of the likelihood of confusion. </w:t>
      </w:r>
    </w:p>
    <w:p w:rsidR="00032A5B" w:rsidRDefault="00032A5B" w:rsidP="00032A5B"/>
    <w:p w:rsidR="00032A5B" w:rsidRDefault="00032A5B" w:rsidP="00032A5B">
      <w:r>
        <w:t>The Court of Appeals determined that the District Court's instructions were consistent with the foregoing principles and that the evidence supported the jury's verdict. Both courts thus ruled that Taco Cabana's trade dress was not descriptive but rather inherently distinctive, and that it was not functional. . . . In going on to affirm the judgment for respondent, the Court of Appeals held that Taco Cabana's inherently distinctive trade dress was entitled to protection despite the lack of proof of secondary meaning. It is this issue that is before us for decision, and we agree with its resolution by the Court of Appeals. . . .</w:t>
      </w:r>
    </w:p>
    <w:p w:rsidR="00032A5B" w:rsidRDefault="00032A5B" w:rsidP="00032A5B"/>
    <w:p w:rsidR="00032A5B" w:rsidRDefault="00032A5B" w:rsidP="00032A5B">
      <w:r>
        <w:t>Petitioner argues that the jury's finding that the trade dress has not acquired a secondary meaning shows conclusively that the trade dress is not inherently distinctive. . . .  We see no basis for requiring secondary meaning for inherently distinctive trade dress protection under § 43(a) but not for other distinctive words, symbols, or devices capable of identifying a producer's product.</w:t>
      </w:r>
    </w:p>
    <w:p w:rsidR="00032A5B" w:rsidRDefault="00032A5B" w:rsidP="00032A5B">
      <w:pPr>
        <w:spacing w:before="120"/>
      </w:pPr>
      <w:r>
        <w:t>Engrafting onto § 43(a) a requirement of secondary meaning for inherently distinctive trade dress also would undermine the purposes of the Lanham Act. Protection of trade dress, no less than of trademarks, serves the Act's purpose to "secure to the owner of the mark the goodwill of his business and to protect the ability of consumers to distinguish among competing producers. National protection of trademarks is desirable, Congress concluded, because trademarks foster competition and the maintenance of quality by securing to the producer the benefits of good reputation."  By making more difficult the identification of a producer with its product, a secondary meaning requirement for a nondescriptive trade dress would hinder improving or maintaining the producer's competitive position.  . .  .</w:t>
      </w:r>
    </w:p>
    <w:p w:rsidR="00032A5B" w:rsidRDefault="00032A5B" w:rsidP="00032A5B">
      <w:r>
        <w:t xml:space="preserve"> </w:t>
      </w:r>
    </w:p>
    <w:p w:rsidR="00032A5B" w:rsidRDefault="00032A5B" w:rsidP="00032A5B">
      <w:r>
        <w:t xml:space="preserve">On the other hand, adding a secondary meaning requirement could have anticompetitive effects, creating particular burdens on the startup of small companies. It would present special difficulties for a business, such as respondent, that seeks to start a new product in a limited area and then expand into new markets. Denying protection for inherently distinctive nonfunctional trade dress until after secondary meaning has been established would allow a competitor, which has not adopted a distinctive trade dress of its own, to appropriate the originator's dress in other markets and to deter the originator from expanding into and competing in these areas. . . . </w:t>
      </w:r>
    </w:p>
    <w:p w:rsidR="00032A5B" w:rsidRDefault="00032A5B" w:rsidP="00032A5B">
      <w:pPr>
        <w:spacing w:before="120"/>
      </w:pPr>
      <w:r>
        <w:t>III</w:t>
      </w:r>
    </w:p>
    <w:p w:rsidR="00032A5B" w:rsidRDefault="00032A5B" w:rsidP="00032A5B">
      <w:pPr>
        <w:spacing w:before="120"/>
      </w:pPr>
      <w:r>
        <w:t>We agree with the Court of Appeals that proof of secondary meaning is not required to prevail on a claim under the Lanham Act where the trade dress at issue is inherently distinctive, and accordingly the judgment of that court is affirmed.</w:t>
      </w:r>
    </w:p>
    <w:p w:rsidR="00032A5B" w:rsidRDefault="00032A5B" w:rsidP="00032A5B">
      <w:pPr>
        <w:spacing w:before="120"/>
      </w:pPr>
      <w:r>
        <w:rPr>
          <w:i/>
          <w:iCs/>
        </w:rPr>
        <w:t>It is so ordered</w:t>
      </w:r>
      <w:r>
        <w:t>.</w:t>
      </w:r>
    </w:p>
    <w:p w:rsidR="00032A5B" w:rsidRDefault="00032A5B" w:rsidP="00032A5B"/>
    <w:p w:rsidR="00032A5B" w:rsidRDefault="00032A5B" w:rsidP="00032A5B">
      <w:pPr>
        <w:rPr>
          <w:bCs/>
        </w:rPr>
      </w:pPr>
      <w:r>
        <w:rPr>
          <w:bCs/>
        </w:rPr>
        <w:br w:type="page"/>
      </w:r>
    </w:p>
    <w:p w:rsidR="00032A5B" w:rsidRPr="001D7A03" w:rsidRDefault="00032A5B" w:rsidP="00032A5B">
      <w:pPr>
        <w:ind w:left="1200" w:right="1200"/>
        <w:jc w:val="center"/>
        <w:rPr>
          <w:bCs/>
        </w:rPr>
      </w:pPr>
      <w:r w:rsidRPr="001D7A03">
        <w:rPr>
          <w:bCs/>
        </w:rPr>
        <w:lastRenderedPageBreak/>
        <w:t>Ty, Inc., Plaintiff-Appellee, v. GMA Accessories, Inc.</w:t>
      </w:r>
      <w:r>
        <w:rPr>
          <w:bCs/>
        </w:rPr>
        <w:t>,</w:t>
      </w:r>
      <w:r w:rsidRPr="001D7A03">
        <w:rPr>
          <w:bCs/>
        </w:rPr>
        <w:t xml:space="preserve"> Defendant</w:t>
      </w:r>
      <w:r>
        <w:rPr>
          <w:bCs/>
        </w:rPr>
        <w:t>-Appellant</w:t>
      </w:r>
    </w:p>
    <w:p w:rsidR="00032A5B" w:rsidRDefault="00032A5B" w:rsidP="00032A5B">
      <w:pPr>
        <w:ind w:left="1200" w:right="1200"/>
        <w:jc w:val="center"/>
        <w:rPr>
          <w:bCs/>
        </w:rPr>
      </w:pPr>
    </w:p>
    <w:p w:rsidR="00032A5B" w:rsidRPr="001D7A03" w:rsidRDefault="00032A5B" w:rsidP="00032A5B">
      <w:pPr>
        <w:ind w:left="1200" w:right="1200"/>
        <w:jc w:val="center"/>
        <w:rPr>
          <w:bCs/>
        </w:rPr>
      </w:pPr>
      <w:smartTag w:uri="urn:schemas-microsoft-com:office:smarttags" w:element="place">
        <w:smartTag w:uri="urn:schemas-microsoft-com:office:smarttags" w:element="country-region">
          <w:r w:rsidRPr="001D7A03">
            <w:rPr>
              <w:bCs/>
            </w:rPr>
            <w:t>United States</w:t>
          </w:r>
        </w:smartTag>
      </w:smartTag>
      <w:r w:rsidRPr="001D7A03">
        <w:rPr>
          <w:bCs/>
        </w:rPr>
        <w:t xml:space="preserve"> Court </w:t>
      </w:r>
      <w:r>
        <w:rPr>
          <w:bCs/>
        </w:rPr>
        <w:t>o</w:t>
      </w:r>
      <w:r w:rsidRPr="001D7A03">
        <w:rPr>
          <w:bCs/>
        </w:rPr>
        <w:t xml:space="preserve">f Appeals </w:t>
      </w:r>
      <w:r>
        <w:rPr>
          <w:bCs/>
        </w:rPr>
        <w:t>f</w:t>
      </w:r>
      <w:r w:rsidRPr="001D7A03">
        <w:rPr>
          <w:bCs/>
        </w:rPr>
        <w:t xml:space="preserve">or </w:t>
      </w:r>
      <w:r>
        <w:rPr>
          <w:bCs/>
        </w:rPr>
        <w:t>t</w:t>
      </w:r>
      <w:r w:rsidRPr="001D7A03">
        <w:rPr>
          <w:bCs/>
        </w:rPr>
        <w:t>he Seventh Circuit</w:t>
      </w:r>
    </w:p>
    <w:p w:rsidR="00032A5B" w:rsidRPr="001D7A03" w:rsidRDefault="00032A5B" w:rsidP="00032A5B">
      <w:pPr>
        <w:rPr>
          <w:bCs/>
        </w:rPr>
      </w:pPr>
    </w:p>
    <w:p w:rsidR="00032A5B" w:rsidRDefault="00032A5B" w:rsidP="00032A5B">
      <w:pPr>
        <w:ind w:left="1200" w:right="1200"/>
        <w:jc w:val="center"/>
        <w:rPr>
          <w:bCs/>
          <w:color w:val="000000"/>
        </w:rPr>
      </w:pPr>
      <w:r w:rsidRPr="001D7A03">
        <w:rPr>
          <w:bCs/>
          <w:color w:val="000000"/>
        </w:rPr>
        <w:t>132 F.3d 1167</w:t>
      </w:r>
    </w:p>
    <w:p w:rsidR="00032A5B" w:rsidRDefault="00032A5B" w:rsidP="00032A5B">
      <w:pPr>
        <w:ind w:left="1200" w:right="1200"/>
        <w:jc w:val="center"/>
        <w:rPr>
          <w:bCs/>
        </w:rPr>
      </w:pPr>
    </w:p>
    <w:p w:rsidR="00032A5B" w:rsidRPr="001D7A03" w:rsidRDefault="00032A5B" w:rsidP="00032A5B">
      <w:pPr>
        <w:ind w:left="1200" w:right="1200"/>
        <w:jc w:val="center"/>
        <w:rPr>
          <w:bCs/>
        </w:rPr>
      </w:pPr>
      <w:smartTag w:uri="urn:schemas-microsoft-com:office:smarttags" w:element="date">
        <w:smartTagPr>
          <w:attr w:name="Month" w:val="12"/>
          <w:attr w:name="Day" w:val="19"/>
          <w:attr w:name="Year" w:val="1997"/>
        </w:smartTagPr>
        <w:r w:rsidRPr="001D7A03">
          <w:rPr>
            <w:bCs/>
          </w:rPr>
          <w:t>December 19, 1997</w:t>
        </w:r>
      </w:smartTag>
      <w:r w:rsidRPr="001D7A03">
        <w:rPr>
          <w:bCs/>
        </w:rPr>
        <w:t>, Decided</w:t>
      </w:r>
    </w:p>
    <w:p w:rsidR="00032A5B" w:rsidRPr="001D7A03" w:rsidRDefault="00032A5B" w:rsidP="00032A5B">
      <w:pPr>
        <w:rPr>
          <w:bCs/>
        </w:rPr>
      </w:pPr>
    </w:p>
    <w:p w:rsidR="00032A5B" w:rsidRDefault="00032A5B" w:rsidP="00032A5B">
      <w:pPr>
        <w:rPr>
          <w:bCs/>
        </w:rPr>
      </w:pPr>
    </w:p>
    <w:p w:rsidR="00032A5B" w:rsidRPr="001D7A03" w:rsidRDefault="00032A5B" w:rsidP="00032A5B">
      <w:r w:rsidRPr="001D7A03">
        <w:rPr>
          <w:bCs/>
        </w:rPr>
        <w:t xml:space="preserve">PRIOR HISTORY: </w:t>
      </w:r>
      <w:r w:rsidRPr="001D7A03">
        <w:t xml:space="preserve"> </w:t>
      </w:r>
      <w:r>
        <w:t>A</w:t>
      </w:r>
      <w:r w:rsidRPr="001D7A03">
        <w:t xml:space="preserve">ppeal from the </w:t>
      </w:r>
      <w:smartTag w:uri="urn:schemas-microsoft-com:office:smarttags" w:element="place">
        <w:smartTag w:uri="urn:schemas-microsoft-com:office:smarttags" w:element="country-region">
          <w:r w:rsidRPr="001D7A03">
            <w:t>United States</w:t>
          </w:r>
        </w:smartTag>
      </w:smartTag>
      <w:r w:rsidRPr="001D7A03">
        <w:t xml:space="preserve"> District Court for the Northern District of Illinois, Eastern Divi</w:t>
      </w:r>
      <w:r>
        <w:t>sion.</w:t>
      </w:r>
    </w:p>
    <w:p w:rsidR="00032A5B" w:rsidRDefault="00032A5B" w:rsidP="00032A5B"/>
    <w:p w:rsidR="00032A5B" w:rsidRPr="001D7A03" w:rsidRDefault="00032A5B" w:rsidP="00032A5B">
      <w:r w:rsidRPr="001D7A03">
        <w:rPr>
          <w:bCs/>
        </w:rPr>
        <w:t xml:space="preserve">JUDGES: </w:t>
      </w:r>
      <w:r w:rsidRPr="001D7A03">
        <w:t xml:space="preserve">Posner, Chief Judge, and Bauer and Flaum, Circuit Judges.  </w:t>
      </w:r>
    </w:p>
    <w:p w:rsidR="00032A5B" w:rsidRPr="001D7A03" w:rsidRDefault="00032A5B" w:rsidP="00032A5B"/>
    <w:p w:rsidR="00032A5B" w:rsidRDefault="00032A5B" w:rsidP="00032A5B">
      <w:r w:rsidRPr="001D7A03">
        <w:rPr>
          <w:bCs/>
        </w:rPr>
        <w:t xml:space="preserve">OPINION BY: </w:t>
      </w:r>
      <w:r w:rsidRPr="001D7A03">
        <w:t xml:space="preserve"> Chief Judge</w:t>
      </w:r>
      <w:r>
        <w:t xml:space="preserve"> Posner. </w:t>
      </w:r>
    </w:p>
    <w:p w:rsidR="00032A5B" w:rsidRDefault="00032A5B" w:rsidP="00032A5B">
      <w:pPr>
        <w:spacing w:before="120"/>
      </w:pPr>
      <w:r>
        <w:t xml:space="preserve">Ty, the manufacturer of the popular "Beanie Babies" line of stuffed animals, has obtained a preliminary injunction under the Copyright Act against the sale by GMA (and also a retailer, but we can disregard that aspect of the injunction) of "Preston the Pig" and "Louie the Cow." These are bean-bag animals manufactured by GMA that Ty contends are copies of its copyrighted pig ("Squealer") and cow ("Daisy"). Ty began selling the "Beanie Babies" line, including Squealer, in 1993, and it was the popularity of the line that induced GMA to bring out its own line of bean-bag stuffed animals three years later. GMA does not contest the part of the injunction that enjoins the sale of Louie, but asks us on a variety of grounds to vacate the other part, the part that enjoins it from selling </w:t>
      </w:r>
      <w:smartTag w:uri="urn:schemas-microsoft-com:office:smarttags" w:element="place">
        <w:r>
          <w:t>Preston</w:t>
        </w:r>
      </w:smartTag>
      <w:r>
        <w:t>.</w:t>
      </w:r>
    </w:p>
    <w:p w:rsidR="00032A5B" w:rsidRDefault="00032A5B" w:rsidP="00032A5B">
      <w:pPr>
        <w:spacing w:before="120"/>
      </w:pPr>
      <w:r>
        <w:t xml:space="preserve">We have appended to our opinion five pictures found in the appellate record. The first shows Squealer (the darker pig, actually pink) and </w:t>
      </w:r>
      <w:smartTag w:uri="urn:schemas-microsoft-com:office:smarttags" w:element="place">
        <w:r>
          <w:t>Preston</w:t>
        </w:r>
      </w:smartTag>
      <w:r>
        <w:t xml:space="preserve"> (white). The second is a picture of two real pigs. The third and fourth are different views of the design for Preston that Janet Salmon submitted to GMA several months before Preston went into production. The fifth is a picture of the two bean-bag cows; they are nearly identical. A glance at the first picture shows a striking similarity between the two bean-bag pigs as well. The photograph was supplied by GMA and actually understates the similarity (the animals themselves are part of the record). The "real" </w:t>
      </w:r>
      <w:smartTag w:uri="urn:schemas-microsoft-com:office:smarttags" w:element="place">
        <w:r>
          <w:t>Preston</w:t>
        </w:r>
      </w:smartTag>
      <w:r>
        <w:t xml:space="preserve"> is the same length as Squealer and has a virtually identical snout. The difference in the lengths of the two animals in the picture is a trick of the camera. The difference in snouts results from the fact that the pictured </w:t>
      </w:r>
      <w:smartTag w:uri="urn:schemas-microsoft-com:office:smarttags" w:element="place">
        <w:r>
          <w:t>Preston</w:t>
        </w:r>
      </w:smartTag>
      <w:r>
        <w:t xml:space="preserve"> was a manufacturing botch. And GMA put a ribbon around the neck of the Preston in the picture, but the </w:t>
      </w:r>
      <w:smartTag w:uri="urn:schemas-microsoft-com:office:smarttags" w:element="place">
        <w:r>
          <w:t>Preston</w:t>
        </w:r>
      </w:smartTag>
      <w:r>
        <w:t xml:space="preserve"> that it sells doesn't have a ribbon.</w:t>
      </w:r>
    </w:p>
    <w:p w:rsidR="00032A5B" w:rsidRDefault="00032A5B" w:rsidP="00032A5B">
      <w:pPr>
        <w:spacing w:before="120"/>
      </w:pPr>
      <w:r>
        <w:t>The two pigs are so nearly identical that if the second is a copy of the first, the second clearly infringes Ty's copyright. But identity is not infringement. The Copyright Act forbids only copying; if independent creation results in an identical work, the creator of that work is free to sell it.</w:t>
      </w:r>
      <w:r w:rsidRPr="001D7A03">
        <w:t xml:space="preserve"> </w:t>
      </w:r>
      <w:r>
        <w:t xml:space="preserve"> The practical basis for this rule is that unlike the case of patents and trademarks, the creator of an expressive work—an author or sculptor or composer— cannot canvass the entire universe of copyrighted works to discover whether his poem or song or, as in this case, "soft sculpture" is identical to some work in which copyright subsists, especially since unpublished, unregistered works are copyrightable. [cites omitted]  But identity can be powerful evidence of copying. [cites omitted]    The more a work is both like an already copyrighted work and—for this is equally important—unlike anything that is in the public domain, the less likely it is to be an independent creation. As is generally true in the law, circumstantial evidence—evidence merely probabilistic rather than certain—can confer sufficient confidence on an inference, here of copying, to warrant a legal finding.</w:t>
      </w:r>
    </w:p>
    <w:p w:rsidR="00032A5B" w:rsidRDefault="00032A5B" w:rsidP="00032A5B">
      <w:pPr>
        <w:spacing w:before="120"/>
      </w:pPr>
      <w:r>
        <w:t>The issue of copying can be broken down into two sub-issues. The first is whether the alleged copier had access to the work that he is claimed to have copied; the second is whether, if so, he used his access to copy.  It might seem that access could not be an issue where, as in this case, the allegedly copied work is a mass-produced consumer product purchasable for $ 5. But we shall see that GMA has attempted to make an issue of access.</w:t>
      </w:r>
    </w:p>
    <w:p w:rsidR="00032A5B" w:rsidRDefault="00032A5B" w:rsidP="00032A5B">
      <w:pPr>
        <w:spacing w:before="120"/>
      </w:pPr>
      <w:r>
        <w:t>Obviously, access does not entail copying. An eyewitness might have seen the defendant buy the copyrighted work; this would be proof of access, but not of copying. But copying entails access. If, therefore, two works are so similar as to make it highly probable that the later one is a copy of the earlier one, the issue of access need not be addressed separately, since if the later work was a copy its creator must have had access to the original.  [cites omitted]  Of course the inference of access, and hence of copying, could be rebutted by proof that the creator of the later work could not have seen the earlier one or (an alternative mode of access) a copy of the earlier one. . . . The plaintiff must produce some (other) evidence of access. He must produce evidence of access, all right—but, as we have just said, a similarity that is so close as to be highly unlikely to have been an accident of independent creation is evidence of access.</w:t>
      </w:r>
    </w:p>
    <w:p w:rsidR="00032A5B" w:rsidRDefault="00032A5B" w:rsidP="00032A5B">
      <w:pPr>
        <w:spacing w:before="120"/>
      </w:pPr>
      <w:r>
        <w:lastRenderedPageBreak/>
        <w:t xml:space="preserve">Two works may be strikingly similar—may in fact be identical—not because one is copied from the other but because both are copies of the same thing in the public domain. In such a case—imagine two people photographing </w:t>
      </w:r>
      <w:smartTag w:uri="urn:schemas-microsoft-com:office:smarttags" w:element="place">
        <w:smartTag w:uri="urn:schemas-microsoft-com:office:smarttags" w:element="City">
          <w:r>
            <w:t>Niagara Falls</w:t>
          </w:r>
        </w:smartTag>
      </w:smartTag>
      <w:r>
        <w:t xml:space="preserve"> from the same place at the same time of the day and year and in identical weather—there is no inference of access to anything but the public domain, and, equally, no inference of copying from a copyrighted work.  A similarity may be striking without being suspicious.</w:t>
      </w:r>
    </w:p>
    <w:p w:rsidR="00032A5B" w:rsidRDefault="00032A5B" w:rsidP="00032A5B">
      <w:pPr>
        <w:spacing w:before="120"/>
      </w:pPr>
      <w:r>
        <w:t xml:space="preserve">But here it is both. GMA's pig is strikingly similar to Ty's pig but not to anything in the public domain--a real pig, for example, which is why we have included in our appendix a photograph of real pigs. The parties' bean-bag pigs bear little resemblance to real pigs even if we overlook the striking anatomical anomaly of </w:t>
      </w:r>
      <w:smartTag w:uri="urn:schemas-microsoft-com:office:smarttags" w:element="place">
        <w:r>
          <w:t>Preston</w:t>
        </w:r>
      </w:smartTag>
      <w:r>
        <w:t>--he has three toes, whereas real pigs have cloven hooves. We can imagine an argument that the technology of manufacturing bean-bag animals somehow prevents the manufacturer from imitating a real pig. But anyone even slightly familiar with stuffed animals knows that there are many lifelike stuffed pigs on the market, and whether they are stuffed with beans or other materials does not significantly affect their verisimilitude—though here we must emphasize that any factual assertions in this opinion should be treated as tentative, since the case is before us on an appeal from the abbreviated record of a preliminary-injunction proceeding and a full trial may cast the facts in a different light.</w:t>
      </w:r>
    </w:p>
    <w:p w:rsidR="00032A5B" w:rsidRDefault="00032A5B" w:rsidP="00032A5B">
      <w:pPr>
        <w:spacing w:before="120"/>
      </w:pPr>
      <w:r>
        <w:t xml:space="preserve">Real pigs are not the only pigs in the public domain. But GMA has not pointed to any fictional pig in the public domain that </w:t>
      </w:r>
      <w:smartTag w:uri="urn:schemas-microsoft-com:office:smarttags" w:element="place">
        <w:r>
          <w:t>Preston</w:t>
        </w:r>
      </w:smartTag>
      <w:r>
        <w:t xml:space="preserve"> resembles. </w:t>
      </w:r>
      <w:smartTag w:uri="urn:schemas-microsoft-com:office:smarttags" w:element="place">
        <w:r>
          <w:t>Preston</w:t>
        </w:r>
      </w:smartTag>
      <w:r>
        <w:t xml:space="preserve"> resembles only Squealer, and resembles him so closely as to warrant an inference that GMA copied Squealer. In rebuttal all that GMA presented was the affidavit of the designer, Salmon, who swears, we must assume truthfully, that she never looked at a Squealer before submitting her design. But it is not her design drawing that is alleged to infringe the copyright on Squealer; it is the manufactured </w:t>
      </w:r>
      <w:smartTag w:uri="urn:schemas-microsoft-com:office:smarttags" w:element="place">
        <w:r>
          <w:t>Preston</w:t>
        </w:r>
      </w:smartTag>
      <w:r>
        <w:t xml:space="preserve">, the soft sculpture itself, which, as a comparison of the first with the third and fourth pictures in the appendix reveals, is much more like Squealer than Salmon's drawing is. And remember that the manufactured </w:t>
      </w:r>
      <w:smartTag w:uri="urn:schemas-microsoft-com:office:smarttags" w:element="place">
        <w:r>
          <w:t>Preston</w:t>
        </w:r>
      </w:smartTag>
      <w:r>
        <w:t xml:space="preserve"> </w:t>
      </w:r>
      <w:r>
        <w:rPr>
          <w:i/>
          <w:iCs/>
        </w:rPr>
        <w:t>in the photograph</w:t>
      </w:r>
      <w:r>
        <w:t xml:space="preserve"> is a sport, with its stubby snout and its ribbon. Interestingly, these are features of Salmon's drawing but not of the production-model </w:t>
      </w:r>
      <w:smartTag w:uri="urn:schemas-microsoft-com:office:smarttags" w:element="place">
        <w:r>
          <w:t>Preston</w:t>
        </w:r>
      </w:smartTag>
      <w:r>
        <w:t xml:space="preserve">, suggesting design intervention between Salmon's submission and actual production. . . . </w:t>
      </w:r>
    </w:p>
    <w:p w:rsidR="00032A5B" w:rsidRDefault="00032A5B" w:rsidP="00032A5B">
      <w:pPr>
        <w:spacing w:before="120"/>
      </w:pPr>
      <w:r>
        <w:t>The Beanie Babies are immensely popular. They are also, it is true, sometimes hard to find. Ty's practice, apparently, is to create a shortage (that is, to price its bean-bag animals below the market-clearing price) in order to excite the market.  But it is unbelievable that a substantial company like GMA which is in the same line of business as Ty could not have located and purchased a Squealer if it wanted to copy it. A glance at the last picture in the appendix shows an identity between Louie the Cow and Ty's Daisy that is so complete (and also not explainable by reference to resemblance to a real cow or other public domain figure) as to compel an inference of copying. If GMA thus must have had access to Louie, it is probable, quite apart from any inference from the evidence of similarity, that it had access to Squealer as well.</w:t>
      </w:r>
    </w:p>
    <w:p w:rsidR="00032A5B" w:rsidRDefault="00032A5B" w:rsidP="00032A5B">
      <w:pPr>
        <w:spacing w:before="120"/>
      </w:pPr>
      <w:r>
        <w:t xml:space="preserve">Access (and copying) may be inferred when two works are so similar to each other and not to anything in the public domain that it is likely that the creator of the second work copied the first, but the inference can be rebutted by disproving access or otherwise showing independent creation—and in this connection GMA complains that the district judge refused to conduct an evidentiary hearing at which it might have presented evidence of independent creation.  If genuine issues of material fact are created by the response to a motion for a preliminary injunction, an evidentiary hearing is indeed required.  But as in any case in which a party seeks an evidentiary hearing, he must be able to persuade the court that the issue is indeed genuine and material and so a hearing would be productive—he must show in other words that he has and intends to introduce evidence that if believed will so weaken the moving party's case as to affect the judge's decision on whether to issue an injunction. Here is where GMA falters. The only evidence that it seeks to present is the designer's oral testimony in support of the claim of independent creation. Her testimony would presumably have duplicated her affidavit, which was already in evidence; at least, GMA has not indicated what her testimony would add to her affidavit. Affidavits are ordinarily inadmissible at trials but they are fully admissible in summary proceedings, including preliminary-injunction proceedings.  So the evidence that GMA wants to put before the district judge was before him when he ruled. . . . </w:t>
      </w:r>
    </w:p>
    <w:p w:rsidR="00032A5B" w:rsidRDefault="00032A5B" w:rsidP="00032A5B">
      <w:pPr>
        <w:spacing w:before="120"/>
      </w:pPr>
      <w:r>
        <w:t xml:space="preserve">So, on the record compiled in the preliminary-injunction proceedings, Ty has indeed a strong case. But that is not the end of our inquiry.  The granting of a preliminary injunction depends on proof of irreparable harm if the injunction is withheld as well as on the likelihood of success on the merits when the case is fully tried.  It is true that the stronger the case on the merits, the less irreparable harm must be shown.  If the likelihood of a substantive mistake—relief granted without an actual infringement of the plaintiff's rights—is slight, the fact that the plaintiff may not have a compelling need for interim relief is not a great worry; for if his rights really were infringed, he is entitled to an injunction without demonstrating irreparable harm, which is required to be shown only if </w:t>
      </w:r>
      <w:r>
        <w:rPr>
          <w:i/>
          <w:iCs/>
        </w:rPr>
        <w:t>preliminary</w:t>
      </w:r>
      <w:r>
        <w:t xml:space="preserve"> injunctive relief is sought.  But a plaintiff who cannot show any irreparable harm at all from the withholding of a preliminary injunction is not entitled to the injunction however strong his case on the merits, for he has no need for preliminary relief in such a case, no need therefore to short-circuit the ordinary processes of the law. GMA argues that Ty has in fact suffered no irreparable harm.</w:t>
      </w:r>
    </w:p>
    <w:p w:rsidR="00032A5B" w:rsidRDefault="00032A5B" w:rsidP="00032A5B">
      <w:pPr>
        <w:spacing w:before="120"/>
      </w:pPr>
      <w:r>
        <w:lastRenderedPageBreak/>
        <w:t>It relies primarily on a short-term promotional license that Ty granted McDonald's to give away miniature Beanie Babies ("Teenie Beanie Babies") to McDonald's customers in their meal packets. This shows, says GMA, that Ty does not insist on having the exclusive right to distribute Beanie Babies to the consuming public, that it is willing to "sell" (or rent) that right, and hence that it would be fully compensated for any losses stemming from GMA's copying simply by an award of damages measured either by GMA's profits on its sales of Preston or by the reduction in Ty's profits caused by the diversion of customers to the look-alike pig (whichever is greater). These are indeed allowable measures of damages . . . , but they do not demonstrate an absence of irreparable harm. . . .</w:t>
      </w:r>
    </w:p>
    <w:p w:rsidR="00032A5B" w:rsidRDefault="00032A5B" w:rsidP="00032A5B">
      <w:pPr>
        <w:spacing w:before="120"/>
      </w:pPr>
      <w:r>
        <w:t>Ty wants to limit the distribution of Beanie Babies, and has succeeded in doing so, as shown by the existence of a secondary market in which prices as high as $2,200 for a Beanie Baby ("Peanuts the Elephant") have been reported. The profits in the secondary market go to the purchasers of the Babies, not to Ty. Why Ty wants to enrich its customers and perhaps its retailers is unclear—perhaps to encourage adult purchases of the product (as a collectible), perhaps to incite children to pester their parents for it out of fear of not keeping up with their playmates—but is not our business. It is germane only as showing that GMA's infringement is not only depriving Ty of the income on some number of pigs but also disrupting its scheme of distribution. The harm to its marketing plan cannot readily be monetized and so is appropriately described as irreparable. The harm is aggravated by differences in appearance and quality control (remember the defective Preston) that while not big enough to rebut an inference of copying could impair Ty's goodwill if customers buy Preston thinking it is a Beanie Baby rather than a knockoff. This is a type of loss more commonly associated with trademark cases, but it is applicable to copyright as well. Such an award draws additional sustenance from the doctrine of "moral right," the right of the creator of intellectual property to the preservation of the integrity of his work—a doctrine that is creeping into American copyright law.</w:t>
      </w:r>
    </w:p>
    <w:p w:rsidR="00032A5B" w:rsidRDefault="00032A5B" w:rsidP="00032A5B">
      <w:pPr>
        <w:spacing w:before="120"/>
      </w:pPr>
      <w:r>
        <w:t>If GMA could show greater irreparable harm to itself from the grant of the injunction than irreparable harm to Ty from its denial, this would be another consideration to throw into the hopper in determining the appropriateness of the preliminary injunction. It has not attempted to show this.</w:t>
      </w:r>
    </w:p>
    <w:p w:rsidR="00032A5B" w:rsidRDefault="00032A5B" w:rsidP="00032A5B">
      <w:pPr>
        <w:spacing w:before="120"/>
      </w:pPr>
      <w:r>
        <w:t>We find no error of law, no clear error of fact, and no abuse of discretion in the grant of the preliminary injunction to Ty. The judgment of the district court is therefore AFFIRMED.</w:t>
      </w:r>
    </w:p>
    <w:p w:rsidR="00032A5B" w:rsidRDefault="00032A5B" w:rsidP="00593FED">
      <w:pPr>
        <w:spacing w:before="120"/>
        <w:jc w:val="center"/>
      </w:pPr>
      <w:r>
        <w:br w:type="page"/>
      </w:r>
      <w:r>
        <w:lastRenderedPageBreak/>
        <w:t>APPENDIX</w:t>
      </w:r>
    </w:p>
    <w:p w:rsidR="00593FED" w:rsidRDefault="00593FED" w:rsidP="00593FED">
      <w:pPr>
        <w:spacing w:before="120"/>
        <w:jc w:val="center"/>
      </w:pPr>
    </w:p>
    <w:p w:rsidR="00032A5B" w:rsidRDefault="00032A5B" w:rsidP="00032A5B">
      <w:pPr>
        <w:pStyle w:val="NormalWeb"/>
        <w:jc w:val="center"/>
      </w:pPr>
      <w:r>
        <w:rPr>
          <w:b/>
          <w:bCs/>
          <w:sz w:val="27"/>
          <w:szCs w:val="27"/>
        </w:rPr>
        <w:t>Ty, Inc.'s "Squeeler"</w:t>
      </w:r>
    </w:p>
    <w:p w:rsidR="00032A5B" w:rsidRDefault="00032A5B" w:rsidP="00032A5B">
      <w:pPr>
        <w:pStyle w:val="NormalWeb"/>
        <w:jc w:val="center"/>
      </w:pPr>
      <w:r>
        <w:rPr>
          <w:noProof/>
        </w:rPr>
        <w:drawing>
          <wp:inline distT="0" distB="0" distL="0" distR="0" wp14:anchorId="565402F6" wp14:editId="70026B5C">
            <wp:extent cx="2165985" cy="1978025"/>
            <wp:effectExtent l="0" t="0" r="5715"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165985" cy="1978025"/>
                    </a:xfrm>
                    <a:prstGeom prst="rect">
                      <a:avLst/>
                    </a:prstGeom>
                    <a:noFill/>
                    <a:ln>
                      <a:noFill/>
                    </a:ln>
                  </pic:spPr>
                </pic:pic>
              </a:graphicData>
            </a:graphic>
          </wp:inline>
        </w:drawing>
      </w:r>
    </w:p>
    <w:p w:rsidR="00032A5B" w:rsidRDefault="00032A5B" w:rsidP="00032A5B">
      <w:pPr>
        <w:pStyle w:val="NormalWeb"/>
        <w:jc w:val="center"/>
      </w:pPr>
    </w:p>
    <w:p w:rsidR="00032A5B" w:rsidRDefault="00032A5B" w:rsidP="00032A5B">
      <w:pPr>
        <w:pStyle w:val="NormalWeb"/>
        <w:jc w:val="center"/>
      </w:pPr>
    </w:p>
    <w:p w:rsidR="00032A5B" w:rsidRDefault="00032A5B" w:rsidP="00032A5B">
      <w:pPr>
        <w:pStyle w:val="NormalWeb"/>
        <w:jc w:val="center"/>
      </w:pPr>
      <w:r>
        <w:t> </w:t>
      </w:r>
      <w:r>
        <w:rPr>
          <w:b/>
          <w:bCs/>
          <w:sz w:val="27"/>
          <w:szCs w:val="27"/>
        </w:rPr>
        <w:t>GMA's "</w:t>
      </w:r>
      <w:smartTag w:uri="urn:schemas-microsoft-com:office:smarttags" w:element="place">
        <w:r>
          <w:rPr>
            <w:b/>
            <w:bCs/>
            <w:sz w:val="27"/>
            <w:szCs w:val="27"/>
          </w:rPr>
          <w:t>Preston</w:t>
        </w:r>
      </w:smartTag>
      <w:r>
        <w:rPr>
          <w:b/>
          <w:bCs/>
          <w:sz w:val="27"/>
          <w:szCs w:val="27"/>
        </w:rPr>
        <w:t xml:space="preserve"> the Pig"</w:t>
      </w:r>
    </w:p>
    <w:p w:rsidR="00032A5B" w:rsidRDefault="00032A5B" w:rsidP="00032A5B">
      <w:pPr>
        <w:pStyle w:val="NormalWeb"/>
        <w:jc w:val="center"/>
      </w:pPr>
      <w:r>
        <w:rPr>
          <w:noProof/>
        </w:rPr>
        <w:drawing>
          <wp:inline distT="0" distB="0" distL="0" distR="0" wp14:anchorId="27DD9A04" wp14:editId="7B6A4D03">
            <wp:extent cx="3209925" cy="2393315"/>
            <wp:effectExtent l="0" t="0" r="9525"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09925" cy="2393315"/>
                    </a:xfrm>
                    <a:prstGeom prst="rect">
                      <a:avLst/>
                    </a:prstGeom>
                    <a:noFill/>
                    <a:ln>
                      <a:noFill/>
                    </a:ln>
                  </pic:spPr>
                </pic:pic>
              </a:graphicData>
            </a:graphic>
          </wp:inline>
        </w:drawing>
      </w:r>
    </w:p>
    <w:p w:rsidR="00B3299C" w:rsidRDefault="00032A5B" w:rsidP="00B3299C">
      <w:pPr>
        <w:tabs>
          <w:tab w:val="left" w:pos="3974"/>
        </w:tabs>
        <w:jc w:val="center"/>
        <w:rPr>
          <w:bCs/>
        </w:rPr>
      </w:pPr>
      <w:r>
        <w:br w:type="page"/>
      </w:r>
      <w:r w:rsidR="00B3299C" w:rsidRPr="00C437D2">
        <w:rPr>
          <w:bCs/>
        </w:rPr>
        <w:lastRenderedPageBreak/>
        <w:t>VICTORIA'S SECRET STORES, INC., Plaintiff, v. VICTOR MOSELEY</w:t>
      </w:r>
      <w:r w:rsidR="00B3299C">
        <w:rPr>
          <w:bCs/>
        </w:rPr>
        <w:t xml:space="preserve"> and</w:t>
      </w:r>
      <w:r w:rsidR="00B3299C" w:rsidRPr="00C437D2">
        <w:rPr>
          <w:bCs/>
        </w:rPr>
        <w:t xml:space="preserve"> </w:t>
      </w:r>
      <w:r w:rsidR="00B3299C">
        <w:rPr>
          <w:bCs/>
        </w:rPr>
        <w:t>CATHY MOSELEY,</w:t>
      </w:r>
    </w:p>
    <w:p w:rsidR="00B3299C" w:rsidRPr="00C437D2" w:rsidRDefault="00B3299C" w:rsidP="00B3299C">
      <w:pPr>
        <w:widowControl w:val="0"/>
        <w:tabs>
          <w:tab w:val="left" w:pos="3974"/>
        </w:tabs>
        <w:jc w:val="center"/>
        <w:rPr>
          <w:bCs/>
        </w:rPr>
      </w:pPr>
      <w:r w:rsidRPr="00C437D2">
        <w:rPr>
          <w:bCs/>
        </w:rPr>
        <w:t>dba Victor's Little Secret; Defendants-App</w:t>
      </w:r>
      <w:r>
        <w:rPr>
          <w:bCs/>
        </w:rPr>
        <w:t>ellants</w:t>
      </w:r>
    </w:p>
    <w:p w:rsidR="00B3299C" w:rsidRPr="00C437D2" w:rsidRDefault="00B3299C" w:rsidP="00B3299C">
      <w:pPr>
        <w:rPr>
          <w:bCs/>
        </w:rPr>
      </w:pPr>
    </w:p>
    <w:p w:rsidR="00B3299C" w:rsidRPr="00C437D2" w:rsidRDefault="00B3299C" w:rsidP="00B3299C">
      <w:pPr>
        <w:ind w:left="1200" w:right="1200"/>
        <w:jc w:val="center"/>
        <w:rPr>
          <w:bCs/>
        </w:rPr>
      </w:pPr>
      <w:r w:rsidRPr="00C437D2">
        <w:rPr>
          <w:bCs/>
        </w:rPr>
        <w:t>UNITED STATES COURT OF APPEALS FOR THE SIXTH CIRCUIT</w:t>
      </w:r>
    </w:p>
    <w:p w:rsidR="00B3299C" w:rsidRPr="00C437D2" w:rsidRDefault="00B3299C" w:rsidP="00B3299C">
      <w:pPr>
        <w:rPr>
          <w:bCs/>
        </w:rPr>
      </w:pPr>
    </w:p>
    <w:p w:rsidR="00B3299C" w:rsidRPr="00C437D2" w:rsidRDefault="00B3299C" w:rsidP="00B3299C">
      <w:pPr>
        <w:ind w:left="1200" w:right="1200"/>
        <w:jc w:val="center"/>
        <w:rPr>
          <w:bCs/>
        </w:rPr>
      </w:pPr>
      <w:r w:rsidRPr="00C437D2">
        <w:rPr>
          <w:bCs/>
        </w:rPr>
        <w:t>605 F.3d 382</w:t>
      </w:r>
    </w:p>
    <w:p w:rsidR="00B3299C" w:rsidRPr="00C437D2" w:rsidRDefault="00B3299C" w:rsidP="00B3299C">
      <w:pPr>
        <w:rPr>
          <w:bCs/>
        </w:rPr>
      </w:pPr>
    </w:p>
    <w:p w:rsidR="00B3299C" w:rsidRPr="00C437D2" w:rsidRDefault="00B3299C" w:rsidP="00B3299C">
      <w:pPr>
        <w:ind w:left="1200" w:right="1200"/>
        <w:jc w:val="center"/>
        <w:rPr>
          <w:bCs/>
        </w:rPr>
      </w:pPr>
      <w:r w:rsidRPr="00C437D2">
        <w:rPr>
          <w:bCs/>
        </w:rPr>
        <w:t xml:space="preserve">January 21, 2010, Argued </w:t>
      </w:r>
    </w:p>
    <w:p w:rsidR="00B3299C" w:rsidRPr="00C437D2" w:rsidRDefault="00B3299C" w:rsidP="00B3299C">
      <w:pPr>
        <w:ind w:left="1200" w:right="1200"/>
        <w:jc w:val="center"/>
        <w:rPr>
          <w:bCs/>
        </w:rPr>
      </w:pPr>
      <w:r w:rsidRPr="00C437D2">
        <w:rPr>
          <w:bCs/>
        </w:rPr>
        <w:t xml:space="preserve">May 19, 2010, Decided </w:t>
      </w:r>
    </w:p>
    <w:p w:rsidR="00B3299C" w:rsidRPr="00C437D2" w:rsidRDefault="00B3299C" w:rsidP="00B3299C">
      <w:pPr>
        <w:rPr>
          <w:bCs/>
        </w:rPr>
      </w:pPr>
    </w:p>
    <w:p w:rsidR="00B3299C" w:rsidRPr="00C437D2" w:rsidRDefault="00B3299C" w:rsidP="00B3299C">
      <w:r w:rsidRPr="00C437D2">
        <w:rPr>
          <w:bCs/>
        </w:rPr>
        <w:t>JUDGES:</w:t>
      </w:r>
      <w:r>
        <w:rPr>
          <w:bCs/>
        </w:rPr>
        <w:t xml:space="preserve">  </w:t>
      </w:r>
      <w:r w:rsidRPr="00C437D2">
        <w:t xml:space="preserve"> MERRITT, MOORE, and GIBBONS, Circuit Judges. MERRITT, J., delivered the opinion of the court. GIBBONS, J., delivered a separate concurring opinion. MOORE, J., delivered a separate dissenting opinion.</w:t>
      </w:r>
    </w:p>
    <w:p w:rsidR="00B3299C" w:rsidRPr="00C437D2" w:rsidRDefault="00B3299C" w:rsidP="00B3299C"/>
    <w:p w:rsidR="00B3299C" w:rsidRPr="00C437D2" w:rsidRDefault="00B3299C" w:rsidP="00B3299C">
      <w:r w:rsidRPr="00C437D2">
        <w:rPr>
          <w:bCs/>
        </w:rPr>
        <w:t>OPINION</w:t>
      </w:r>
      <w:r>
        <w:rPr>
          <w:bCs/>
        </w:rPr>
        <w:t>:</w:t>
      </w:r>
      <w:r w:rsidRPr="00C437D2">
        <w:rPr>
          <w:bCs/>
        </w:rPr>
        <w:t xml:space="preserve">   </w:t>
      </w:r>
      <w:r w:rsidRPr="00C437D2">
        <w:t xml:space="preserve">MERRITT, Circuit Judge. </w:t>
      </w:r>
    </w:p>
    <w:p w:rsidR="00B3299C" w:rsidRPr="00C437D2" w:rsidRDefault="00B3299C" w:rsidP="00B3299C"/>
    <w:p w:rsidR="00B3299C" w:rsidRDefault="00B3299C" w:rsidP="00B3299C">
      <w:r>
        <w:t xml:space="preserve">In this trademark "dilution by tarnishment" case, brought under the Trademark Dilution Revision Act of 2006, </w:t>
      </w:r>
      <w:r>
        <w:rPr>
          <w:sz w:val="16"/>
          <w:szCs w:val="16"/>
          <w:vertAlign w:val="superscript"/>
        </w:rPr>
        <w:t>1</w:t>
      </w:r>
      <w:r>
        <w:t xml:space="preserve"> the question is whether the plaintiff, an international lingerie company that uses the trade name designation "Victoria's Secret" has a valid suit for injunctive relief against the use of the name "Victor's Little Secret" or "Victor's Secret" by the defendants, a small retail store in a mall in Elizabethtown, Kentucky, that sells assorted merchandise, including "sex toys" and other sexually oriented products. The District Court issued the injunction. Since then the shop has been operating under the name of "Cathy's Little Secret." The District Court concluded that even though the two parties do not compete in the same market, the "Victor's Little Secret" mark -- because it is sex related -- disparages and tends to reduce the positive associations and the "selling power" of the "Victoria's Secret" mark. The question is whether the plaintiff's case meets the definitions and standards for "dilution by tarnishment" set out in the new Act which amended the old Act, </w:t>
      </w:r>
      <w:r>
        <w:rPr>
          <w:i/>
          <w:iCs/>
        </w:rPr>
        <w:t>i.e</w:t>
      </w:r>
      <w:r>
        <w:t xml:space="preserve">., the Federal Trademark Dilution Act of 1995. </w:t>
      </w:r>
      <w:r>
        <w:rPr>
          <w:sz w:val="16"/>
          <w:szCs w:val="16"/>
          <w:vertAlign w:val="superscript"/>
        </w:rPr>
        <w:t>2</w:t>
      </w:r>
      <w:r>
        <w:t xml:space="preserve"> </w:t>
      </w:r>
    </w:p>
    <w:p w:rsidR="00B3299C" w:rsidRDefault="00B3299C" w:rsidP="00B3299C"/>
    <w:p w:rsidR="00B3299C" w:rsidRDefault="00B3299C" w:rsidP="00B3299C"/>
    <w:p w:rsidR="00B3299C" w:rsidRDefault="00B3299C" w:rsidP="00B3299C">
      <w:pPr>
        <w:ind w:left="600"/>
        <w:rPr>
          <w:sz w:val="16"/>
          <w:szCs w:val="16"/>
        </w:rPr>
      </w:pPr>
      <w:r>
        <w:rPr>
          <w:sz w:val="16"/>
          <w:szCs w:val="16"/>
        </w:rPr>
        <w:t>1  The relevant provisions of the new law change the test for "dilution by tarnishment" from an "actual" to only a likelihood of "harm" to the "reputation" of the senior mark:</w:t>
      </w:r>
    </w:p>
    <w:p w:rsidR="00B3299C" w:rsidRDefault="00B3299C" w:rsidP="00B3299C">
      <w:pPr>
        <w:rPr>
          <w:sz w:val="16"/>
          <w:szCs w:val="16"/>
        </w:rPr>
      </w:pPr>
    </w:p>
    <w:p w:rsidR="00B3299C" w:rsidRPr="002541AE" w:rsidRDefault="00B3299C" w:rsidP="00B3299C">
      <w:pPr>
        <w:ind w:left="1200" w:right="600"/>
        <w:rPr>
          <w:sz w:val="16"/>
          <w:szCs w:val="16"/>
        </w:rPr>
      </w:pPr>
      <w:r w:rsidRPr="002541AE">
        <w:rPr>
          <w:bCs/>
          <w:sz w:val="16"/>
          <w:szCs w:val="16"/>
        </w:rPr>
        <w:t>15 U.S.C. § 1125(c) Dilution by blurring; dilution by tarnishment (1) Injunctive relief</w:t>
      </w:r>
    </w:p>
    <w:p w:rsidR="00B3299C" w:rsidRPr="002541AE" w:rsidRDefault="00B3299C" w:rsidP="00B3299C">
      <w:pPr>
        <w:spacing w:before="120"/>
        <w:ind w:left="1200" w:right="600"/>
        <w:rPr>
          <w:sz w:val="16"/>
          <w:szCs w:val="16"/>
        </w:rPr>
      </w:pPr>
      <w:r w:rsidRPr="002541AE">
        <w:rPr>
          <w:sz w:val="16"/>
          <w:szCs w:val="16"/>
        </w:rPr>
        <w:t xml:space="preserve">Subject to the principles of equity, the owner of a famous mark that is distinctive, inherently or through acquired distinctiveness, shall be entitled to an injunction against another person who, at any time after the owner's mark has become famous, commences use of a mark or trade name in commerce </w:t>
      </w:r>
      <w:r w:rsidRPr="002541AE">
        <w:rPr>
          <w:i/>
          <w:iCs/>
          <w:sz w:val="16"/>
          <w:szCs w:val="16"/>
        </w:rPr>
        <w:t>that is likely to cause dilution by blurring or dilution by tarnishment</w:t>
      </w:r>
      <w:r w:rsidRPr="002541AE">
        <w:rPr>
          <w:sz w:val="16"/>
          <w:szCs w:val="16"/>
        </w:rPr>
        <w:t xml:space="preserve"> of the famous mark, regardless of the presence or absence of actual or likely confusion, of competition or of actual economic injury.</w:t>
      </w:r>
    </w:p>
    <w:p w:rsidR="00B3299C" w:rsidRPr="002541AE" w:rsidRDefault="00B3299C" w:rsidP="00B3299C">
      <w:pPr>
        <w:spacing w:before="120"/>
        <w:ind w:left="1200" w:right="600"/>
        <w:rPr>
          <w:sz w:val="16"/>
          <w:szCs w:val="16"/>
        </w:rPr>
      </w:pPr>
      <w:r w:rsidRPr="002541AE">
        <w:rPr>
          <w:bCs/>
          <w:sz w:val="16"/>
          <w:szCs w:val="16"/>
        </w:rPr>
        <w:t>(2) Definition</w:t>
      </w:r>
    </w:p>
    <w:p w:rsidR="00B3299C" w:rsidRPr="002541AE" w:rsidRDefault="00B3299C" w:rsidP="00B3299C">
      <w:pPr>
        <w:spacing w:before="120"/>
        <w:ind w:left="1200" w:right="600"/>
        <w:rPr>
          <w:sz w:val="16"/>
          <w:szCs w:val="16"/>
        </w:rPr>
      </w:pPr>
      <w:r w:rsidRPr="002541AE">
        <w:rPr>
          <w:sz w:val="16"/>
          <w:szCs w:val="16"/>
        </w:rPr>
        <w:t>. . . .</w:t>
      </w:r>
    </w:p>
    <w:p w:rsidR="00B3299C" w:rsidRDefault="00B3299C" w:rsidP="00B3299C">
      <w:pPr>
        <w:spacing w:before="120"/>
        <w:ind w:left="1200" w:right="600"/>
        <w:rPr>
          <w:sz w:val="16"/>
          <w:szCs w:val="16"/>
        </w:rPr>
      </w:pPr>
      <w:r>
        <w:rPr>
          <w:sz w:val="16"/>
          <w:szCs w:val="16"/>
        </w:rPr>
        <w:t xml:space="preserve">(C) For purposes of paragraph (1), "dilution by tarnishment" </w:t>
      </w:r>
      <w:r>
        <w:rPr>
          <w:i/>
          <w:iCs/>
          <w:sz w:val="16"/>
          <w:szCs w:val="16"/>
        </w:rPr>
        <w:t>is association</w:t>
      </w:r>
      <w:r>
        <w:rPr>
          <w:sz w:val="16"/>
          <w:szCs w:val="16"/>
        </w:rPr>
        <w:t xml:space="preserve"> arising from the similarity between a mark or trade name and a famous mark that </w:t>
      </w:r>
      <w:r>
        <w:rPr>
          <w:i/>
          <w:iCs/>
          <w:sz w:val="16"/>
          <w:szCs w:val="16"/>
        </w:rPr>
        <w:t>harms the reputation</w:t>
      </w:r>
      <w:r>
        <w:rPr>
          <w:sz w:val="16"/>
          <w:szCs w:val="16"/>
        </w:rPr>
        <w:t xml:space="preserve"> of the famous mark.</w:t>
      </w:r>
    </w:p>
    <w:p w:rsidR="00B3299C" w:rsidRDefault="00B3299C" w:rsidP="00B3299C">
      <w:pPr>
        <w:ind w:left="600"/>
        <w:rPr>
          <w:sz w:val="16"/>
          <w:szCs w:val="16"/>
        </w:rPr>
      </w:pPr>
    </w:p>
    <w:p w:rsidR="00B3299C" w:rsidRDefault="00B3299C" w:rsidP="00B3299C"/>
    <w:p w:rsidR="00B3299C" w:rsidRDefault="00B3299C" w:rsidP="00B3299C">
      <w:pPr>
        <w:ind w:left="600"/>
        <w:rPr>
          <w:sz w:val="16"/>
          <w:szCs w:val="16"/>
        </w:rPr>
      </w:pPr>
      <w:r>
        <w:rPr>
          <w:sz w:val="16"/>
          <w:szCs w:val="16"/>
        </w:rPr>
        <w:t>2 The relevant provisions of the old law provide:</w:t>
      </w:r>
    </w:p>
    <w:p w:rsidR="00B3299C" w:rsidRDefault="00B3299C" w:rsidP="00B3299C">
      <w:pPr>
        <w:rPr>
          <w:sz w:val="16"/>
          <w:szCs w:val="16"/>
        </w:rPr>
      </w:pPr>
    </w:p>
    <w:p w:rsidR="00B3299C" w:rsidRDefault="00B3299C" w:rsidP="00B3299C">
      <w:pPr>
        <w:ind w:left="1200" w:right="600"/>
        <w:rPr>
          <w:sz w:val="16"/>
          <w:szCs w:val="16"/>
        </w:rPr>
      </w:pPr>
      <w:r>
        <w:rPr>
          <w:sz w:val="16"/>
          <w:szCs w:val="16"/>
        </w:rPr>
        <w:t xml:space="preserve"> § 1125(c)(1). The owner of a famous mark shall be entitled, subject to the principles of equity and upon such terms as the court deems reasonable, to an injunction against another person's commercial use in commerce of a mark or trade name, </w:t>
      </w:r>
      <w:r>
        <w:rPr>
          <w:i/>
          <w:iCs/>
          <w:sz w:val="16"/>
          <w:szCs w:val="16"/>
        </w:rPr>
        <w:t>if such use begins after the mark has become famous and causes dilution of the distinctive quality of the mark</w:t>
      </w:r>
      <w:r>
        <w:rPr>
          <w:sz w:val="16"/>
          <w:szCs w:val="16"/>
        </w:rPr>
        <w:t>. . . .</w:t>
      </w:r>
    </w:p>
    <w:p w:rsidR="00B3299C" w:rsidRDefault="00B3299C" w:rsidP="00B3299C">
      <w:pPr>
        <w:rPr>
          <w:sz w:val="16"/>
          <w:szCs w:val="16"/>
        </w:rPr>
      </w:pPr>
    </w:p>
    <w:p w:rsidR="00B3299C" w:rsidRDefault="00B3299C" w:rsidP="00B3299C">
      <w:pPr>
        <w:spacing w:before="120"/>
      </w:pPr>
      <w:r>
        <w:t xml:space="preserve">The new Act was expressly intended to overrule the Supreme Court interpretation of the old Act in this very same case, </w:t>
      </w:r>
      <w:r>
        <w:rPr>
          <w:i/>
          <w:iCs/>
        </w:rPr>
        <w:t>Moseley v. V Secret Catalog, Inc</w:t>
      </w:r>
      <w:r>
        <w:t>., 537 U.S. 418 (2003). The Supreme Court reversed a panel of this Court that had affirmed an injunction against "Victor's Little Secret" issued by the District Court.  On remand to the District Court from the Supreme Court after the 2003 reversal, no new evidence was introduced, and the District Court reconsidered the case based on the same evidence but used the new language in the new Act which overrules the Supreme Court in this case. We will first brief the Supreme Court opinion and the reasons Congress overruled the Supreme Court in this case. We will then outline our understanding of the new standards for measuring trademark "dilution by tarnishment" and apply them to this case. We conclude that the new Act creates a kind of rebuttable presumption, or at least a very strong inference, that a new mark used to sell sex related products is likely to tarnish a famous mark if there is a clear semantic association between the two. That presumption has not been rebutted in this case.</w:t>
      </w:r>
    </w:p>
    <w:p w:rsidR="00B3299C" w:rsidRDefault="00B3299C" w:rsidP="00B3299C"/>
    <w:p w:rsidR="00B3299C" w:rsidRDefault="00B3299C" w:rsidP="00B3299C">
      <w:pPr>
        <w:rPr>
          <w:b/>
          <w:bCs/>
        </w:rPr>
      </w:pPr>
    </w:p>
    <w:p w:rsidR="00B3299C" w:rsidRDefault="00B3299C" w:rsidP="00B3299C">
      <w:r>
        <w:rPr>
          <w:b/>
          <w:bCs/>
        </w:rPr>
        <w:t>I. The Supreme Court Opinion and the New Act</w:t>
      </w:r>
    </w:p>
    <w:p w:rsidR="00B3299C" w:rsidRDefault="00B3299C" w:rsidP="00B3299C">
      <w:pPr>
        <w:spacing w:before="120"/>
      </w:pPr>
      <w:r>
        <w:t xml:space="preserve">The Supreme Court explained that this case started when an Army Colonel at Fort Knox saw an ad for "Victor's Secret" in a weekly publication. It advertised that the small store in Elizabethtown sold adult videos and novelties and lingerie. There was no likelihood of confusion between the two businesses or the two marks, but the Army Colonel was offended because the sexually-oriented business was semantically associating itself with "Victoria's Secret." . . . . The Court explained that the concepts of "dilution by blurring" and "dilution by tarnishment" . . .  were further well explained in Restatement (Third) of Unfair Competition, Section 25 (1995). . . . We quote at length the relevant Restatement explanation of "tarnishment" in the footnote below. </w:t>
      </w:r>
      <w:r>
        <w:rPr>
          <w:sz w:val="16"/>
          <w:szCs w:val="16"/>
          <w:vertAlign w:val="superscript"/>
        </w:rPr>
        <w:t>4</w:t>
      </w:r>
    </w:p>
    <w:p w:rsidR="00B3299C" w:rsidRDefault="00B3299C" w:rsidP="00B3299C"/>
    <w:p w:rsidR="00B3299C" w:rsidRDefault="00B3299C" w:rsidP="00B3299C"/>
    <w:p w:rsidR="00B3299C" w:rsidRDefault="00B3299C" w:rsidP="00B3299C">
      <w:pPr>
        <w:ind w:left="600"/>
        <w:rPr>
          <w:sz w:val="16"/>
          <w:szCs w:val="16"/>
        </w:rPr>
      </w:pPr>
      <w:r>
        <w:rPr>
          <w:sz w:val="16"/>
          <w:szCs w:val="16"/>
        </w:rPr>
        <w:t xml:space="preserve">4 "c. </w:t>
      </w:r>
      <w:r>
        <w:rPr>
          <w:i/>
          <w:iCs/>
          <w:sz w:val="16"/>
          <w:szCs w:val="16"/>
        </w:rPr>
        <w:t>Interests protected</w:t>
      </w:r>
      <w:r>
        <w:rPr>
          <w:sz w:val="16"/>
          <w:szCs w:val="16"/>
        </w:rPr>
        <w:t>. The antidilution statutes have been invoked against two distinct threats to the interests of a trademark owner. First, a mark may be so highly distinctive and so well advertised that it acts as a powerful selling tool. Such a mark may evoke among prospective purchasers a positive response that is associated exclusively with the goods or services of the trademark owner. To the extent that others use the trademark to identify different goods, services or businesses, a dissonance occurs that blurs this stimulant effect of the mark. The antidilution statutes protect against this dilution of the distinctiveness and selling power of the mark.</w:t>
      </w:r>
    </w:p>
    <w:p w:rsidR="00B3299C" w:rsidRDefault="00B3299C" w:rsidP="00B3299C">
      <w:pPr>
        <w:spacing w:before="120"/>
        <w:ind w:left="600"/>
        <w:rPr>
          <w:sz w:val="16"/>
          <w:szCs w:val="16"/>
        </w:rPr>
      </w:pPr>
      <w:r>
        <w:rPr>
          <w:sz w:val="16"/>
          <w:szCs w:val="16"/>
        </w:rPr>
        <w:t>The selling power of a trademark also can be undermined by a use of the mark with goods or services such as illicit drugs or pornography that "tarnish" the mark's image through inherently negative or unsavory associations, or with goods or services that produce a negative response when linked in the minds of prospective purchasers with the goods or services of the prior user, such as the use on insecticide of a trademark similar to one previously used by another on food products.</w:t>
      </w:r>
    </w:p>
    <w:p w:rsidR="00B3299C" w:rsidRDefault="00B3299C" w:rsidP="00B3299C">
      <w:pPr>
        <w:spacing w:before="120"/>
        <w:ind w:left="600"/>
        <w:rPr>
          <w:sz w:val="16"/>
          <w:szCs w:val="16"/>
        </w:rPr>
      </w:pPr>
      <w:r>
        <w:rPr>
          <w:sz w:val="16"/>
          <w:szCs w:val="16"/>
        </w:rPr>
        <w:t>Tarnishment and dilution of distinctiveness, although conceptually distinct, both undermine the selling power of a mark, the latter by disturbing the conditioned association of the mark with the prior user and the former by displacing positive with negative associations. Thus, tarnishment and dilution of distinctiveness reduce the value of the mark to the trademark owner.</w:t>
      </w:r>
    </w:p>
    <w:p w:rsidR="00B3299C" w:rsidRDefault="00B3299C" w:rsidP="00B3299C">
      <w:pPr>
        <w:spacing w:before="120"/>
        <w:ind w:left="600"/>
        <w:rPr>
          <w:sz w:val="16"/>
          <w:szCs w:val="16"/>
        </w:rPr>
      </w:pPr>
      <w:r>
        <w:rPr>
          <w:sz w:val="16"/>
          <w:szCs w:val="16"/>
        </w:rPr>
        <w:t>. . . .</w:t>
      </w:r>
    </w:p>
    <w:p w:rsidR="00B3299C" w:rsidRDefault="00B3299C" w:rsidP="00B3299C">
      <w:pPr>
        <w:spacing w:before="120"/>
        <w:ind w:left="600"/>
        <w:rPr>
          <w:sz w:val="16"/>
          <w:szCs w:val="16"/>
        </w:rPr>
      </w:pPr>
      <w:r>
        <w:rPr>
          <w:i/>
          <w:iCs/>
          <w:sz w:val="16"/>
          <w:szCs w:val="16"/>
        </w:rPr>
        <w:t>g. Tarnishment</w:t>
      </w:r>
      <w:r>
        <w:rPr>
          <w:sz w:val="16"/>
          <w:szCs w:val="16"/>
        </w:rPr>
        <w:t>. The antidilution statutes have also been invoked to protect the positive associations evoked by a mark from subsequent uses that may disparage or tarnish those associations. The rule stated in Subsection (1)(b) applies to cases in which the tarnishment results from a subsequent use of the mark or a substantially similar mark in a manner that associates the mark with different goods, services, or businesses. Use of another's mark by the actor, not as a trademark or trade name, but in other ways that may disparage or tarnish the prior user's goods, services, business, or mark is governed by the rule stated in Subsection (2).</w:t>
      </w:r>
    </w:p>
    <w:p w:rsidR="00B3299C" w:rsidRDefault="00B3299C" w:rsidP="00B3299C">
      <w:pPr>
        <w:spacing w:before="120"/>
        <w:ind w:left="600"/>
        <w:rPr>
          <w:sz w:val="16"/>
          <w:szCs w:val="16"/>
        </w:rPr>
      </w:pPr>
      <w:r>
        <w:rPr>
          <w:sz w:val="16"/>
          <w:szCs w:val="16"/>
        </w:rPr>
        <w:t>Any designation that is distinctive under the criteria established in § 13 is eligible for protection against disparaging or tarnishing use by others. Whenever the subsequent use brings to mind the goods, services, business, or mark of the prior user, there is potential for interference with the positive images associated with the mark. To prove a case of tarnishment, the prior user must demonstrate that the subsequent use is likely to come to the attention of the prior user's prospective purchasers and that the use is likely to undermine or damage the positive associations evoked by the mark.</w:t>
      </w:r>
    </w:p>
    <w:p w:rsidR="00B3299C" w:rsidRDefault="00B3299C" w:rsidP="00B3299C">
      <w:pPr>
        <w:spacing w:before="120"/>
        <w:ind w:left="600"/>
        <w:rPr>
          <w:sz w:val="16"/>
          <w:szCs w:val="16"/>
        </w:rPr>
      </w:pPr>
      <w:r>
        <w:rPr>
          <w:b/>
          <w:bCs/>
          <w:sz w:val="16"/>
          <w:szCs w:val="16"/>
        </w:rPr>
        <w:t>Illustration</w:t>
      </w:r>
      <w:r>
        <w:rPr>
          <w:sz w:val="16"/>
          <w:szCs w:val="16"/>
        </w:rPr>
        <w:t>:</w:t>
      </w:r>
    </w:p>
    <w:p w:rsidR="00B3299C" w:rsidRDefault="00B3299C" w:rsidP="00B3299C">
      <w:pPr>
        <w:rPr>
          <w:sz w:val="16"/>
          <w:szCs w:val="16"/>
        </w:rPr>
      </w:pPr>
    </w:p>
    <w:p w:rsidR="00B3299C" w:rsidRDefault="00B3299C" w:rsidP="00B3299C">
      <w:pPr>
        <w:ind w:left="1200" w:right="600"/>
        <w:rPr>
          <w:sz w:val="16"/>
          <w:szCs w:val="16"/>
        </w:rPr>
      </w:pPr>
      <w:r>
        <w:rPr>
          <w:sz w:val="16"/>
          <w:szCs w:val="16"/>
        </w:rPr>
        <w:t xml:space="preserve">3. </w:t>
      </w:r>
      <w:r>
        <w:rPr>
          <w:i/>
          <w:iCs/>
          <w:sz w:val="16"/>
          <w:szCs w:val="16"/>
        </w:rPr>
        <w:t>A</w:t>
      </w:r>
      <w:r>
        <w:rPr>
          <w:sz w:val="16"/>
          <w:szCs w:val="16"/>
        </w:rPr>
        <w:t xml:space="preserve">, a bank, uses the designation "Cookie Jar" to identify its automatic teller machine. </w:t>
      </w:r>
      <w:r>
        <w:rPr>
          <w:i/>
          <w:iCs/>
          <w:sz w:val="16"/>
          <w:szCs w:val="16"/>
        </w:rPr>
        <w:t>B</w:t>
      </w:r>
      <w:r>
        <w:rPr>
          <w:sz w:val="16"/>
          <w:szCs w:val="16"/>
        </w:rPr>
        <w:t xml:space="preserve"> opens a topless bar across the street from </w:t>
      </w:r>
      <w:r>
        <w:rPr>
          <w:i/>
          <w:iCs/>
          <w:sz w:val="16"/>
          <w:szCs w:val="16"/>
        </w:rPr>
        <w:t>A</w:t>
      </w:r>
      <w:r>
        <w:rPr>
          <w:sz w:val="16"/>
          <w:szCs w:val="16"/>
        </w:rPr>
        <w:t xml:space="preserve"> under the trade name "Cookie Jar." Although prospective customers of </w:t>
      </w:r>
      <w:r>
        <w:rPr>
          <w:i/>
          <w:iCs/>
          <w:sz w:val="16"/>
          <w:szCs w:val="16"/>
        </w:rPr>
        <w:t>A</w:t>
      </w:r>
      <w:r>
        <w:rPr>
          <w:sz w:val="16"/>
          <w:szCs w:val="16"/>
        </w:rPr>
        <w:t xml:space="preserve"> are unlikely to believe that </w:t>
      </w:r>
      <w:r>
        <w:rPr>
          <w:i/>
          <w:iCs/>
          <w:sz w:val="16"/>
          <w:szCs w:val="16"/>
        </w:rPr>
        <w:t>A</w:t>
      </w:r>
      <w:r>
        <w:rPr>
          <w:sz w:val="16"/>
          <w:szCs w:val="16"/>
        </w:rPr>
        <w:t xml:space="preserve"> operates or sponsors the bar, </w:t>
      </w:r>
      <w:r>
        <w:rPr>
          <w:i/>
          <w:iCs/>
          <w:sz w:val="16"/>
          <w:szCs w:val="16"/>
        </w:rPr>
        <w:t>B</w:t>
      </w:r>
      <w:r>
        <w:rPr>
          <w:sz w:val="16"/>
          <w:szCs w:val="16"/>
        </w:rPr>
        <w:t xml:space="preserve"> is subject to liability to </w:t>
      </w:r>
      <w:r>
        <w:rPr>
          <w:i/>
          <w:iCs/>
          <w:sz w:val="16"/>
          <w:szCs w:val="16"/>
        </w:rPr>
        <w:t>A</w:t>
      </w:r>
      <w:r>
        <w:rPr>
          <w:sz w:val="16"/>
          <w:szCs w:val="16"/>
        </w:rPr>
        <w:t xml:space="preserve"> for tarnishment under an applicable antidilution statute if the customers are likely to associate </w:t>
      </w:r>
      <w:r>
        <w:rPr>
          <w:i/>
          <w:iCs/>
          <w:sz w:val="16"/>
          <w:szCs w:val="16"/>
        </w:rPr>
        <w:t>A's</w:t>
      </w:r>
      <w:r>
        <w:rPr>
          <w:sz w:val="16"/>
          <w:szCs w:val="16"/>
        </w:rPr>
        <w:t xml:space="preserve"> mark or </w:t>
      </w:r>
      <w:r>
        <w:rPr>
          <w:i/>
          <w:iCs/>
          <w:sz w:val="16"/>
          <w:szCs w:val="16"/>
        </w:rPr>
        <w:t>A's</w:t>
      </w:r>
      <w:r>
        <w:rPr>
          <w:sz w:val="16"/>
          <w:szCs w:val="16"/>
        </w:rPr>
        <w:t xml:space="preserve"> business with the images evoked by </w:t>
      </w:r>
      <w:r>
        <w:rPr>
          <w:i/>
          <w:iCs/>
          <w:sz w:val="16"/>
          <w:szCs w:val="16"/>
        </w:rPr>
        <w:t>B's</w:t>
      </w:r>
      <w:r>
        <w:rPr>
          <w:sz w:val="16"/>
          <w:szCs w:val="16"/>
        </w:rPr>
        <w:t xml:space="preserve"> use."</w:t>
      </w:r>
    </w:p>
    <w:p w:rsidR="00B3299C" w:rsidRDefault="00B3299C" w:rsidP="00B3299C"/>
    <w:p w:rsidR="00B3299C" w:rsidRDefault="00B3299C" w:rsidP="00B3299C">
      <w:pPr>
        <w:spacing w:before="120"/>
      </w:pPr>
      <w:r>
        <w:t>After reviewing a number of secondary sources, the Supreme Court held that "actual harm" rather than merely the "likelihood of tarnishment" is necessary and stated its conclusion as follows:</w:t>
      </w:r>
    </w:p>
    <w:p w:rsidR="00B3299C" w:rsidRDefault="00B3299C" w:rsidP="00B3299C"/>
    <w:p w:rsidR="00B3299C" w:rsidRDefault="00B3299C" w:rsidP="00B3299C">
      <w:pPr>
        <w:ind w:left="600" w:right="600"/>
      </w:pPr>
      <w:r>
        <w:rPr>
          <w:sz w:val="16"/>
          <w:szCs w:val="16"/>
        </w:rPr>
        <w:t xml:space="preserve">Noting that consumer surveys and other means of demonstrating actual dilution are expensive and often unreliable, respondents [Victoria's Secret] and their </w:t>
      </w:r>
      <w:r>
        <w:rPr>
          <w:i/>
          <w:iCs/>
          <w:sz w:val="16"/>
          <w:szCs w:val="16"/>
        </w:rPr>
        <w:t>amici</w:t>
      </w:r>
      <w:r>
        <w:rPr>
          <w:sz w:val="16"/>
          <w:szCs w:val="16"/>
        </w:rPr>
        <w:t xml:space="preserve"> argue that evidence of </w:t>
      </w:r>
      <w:r>
        <w:rPr>
          <w:i/>
          <w:iCs/>
          <w:sz w:val="16"/>
          <w:szCs w:val="16"/>
        </w:rPr>
        <w:t>an actual</w:t>
      </w:r>
      <w:r>
        <w:rPr>
          <w:sz w:val="16"/>
          <w:szCs w:val="16"/>
        </w:rPr>
        <w:t xml:space="preserve"> "lessening of the capacity of a famous mark to identify and distinguish goods or services," may be difficult to obtain. It may well be, however, that direct evidence of dilution such as consumer surveys will not be necessary </w:t>
      </w:r>
      <w:r>
        <w:rPr>
          <w:i/>
          <w:iCs/>
          <w:sz w:val="16"/>
          <w:szCs w:val="16"/>
        </w:rPr>
        <w:t>if actual dilution can reliably be proved</w:t>
      </w:r>
      <w:r>
        <w:rPr>
          <w:sz w:val="16"/>
          <w:szCs w:val="16"/>
        </w:rPr>
        <w:t xml:space="preserve"> through circumstantial evidence -- the obvious case is one where the junior and senior marks are identical. </w:t>
      </w:r>
      <w:r>
        <w:rPr>
          <w:i/>
          <w:iCs/>
          <w:sz w:val="16"/>
          <w:szCs w:val="16"/>
        </w:rPr>
        <w:t>Whatever difficulties of proof may be entailed, they are not an acceptable reason for dispensing with proof of an essential element of a statutory violation</w:t>
      </w:r>
      <w:r>
        <w:rPr>
          <w:sz w:val="16"/>
          <w:szCs w:val="16"/>
        </w:rPr>
        <w:t>. The evidence in the present record is not sufficient to support the summary judgment on the dilution count. The judgment is therefore reversed, and the case is remanded for further proceedings consistent with this opinion.</w:t>
      </w:r>
    </w:p>
    <w:p w:rsidR="00B3299C" w:rsidRDefault="00B3299C" w:rsidP="00B3299C">
      <w:pPr>
        <w:spacing w:before="120"/>
      </w:pPr>
      <w:r>
        <w:t xml:space="preserve">Thus, the Court held that "actual harm" rather than merely a "likelihood" of harm must be shown by Victoria's Secret in order to prevail and that this means that Victoria's Secret carries the burden of proving an actual "lessening of the capacity of the Victoria's Secret mark to identify and distinguish goods or services sold in Victoria's Secret stores or advertised in its catalogs." </w:t>
      </w:r>
      <w:r>
        <w:rPr>
          <w:i/>
          <w:iCs/>
        </w:rPr>
        <w:t>Id</w:t>
      </w:r>
      <w:r>
        <w:t xml:space="preserve">. In the new law Congress rejected the Court's view that a simple "likelihood" of an association in the consumer's mind of the Victoria's Secret mark with the sexually-oriented videos and toys of "Victor's Secret" is insufficient for liability. . . . </w:t>
      </w:r>
    </w:p>
    <w:p w:rsidR="00B3299C" w:rsidRDefault="00B3299C" w:rsidP="00B3299C"/>
    <w:p w:rsidR="00B3299C" w:rsidRDefault="00B3299C" w:rsidP="00B3299C">
      <w:r>
        <w:t>The question for us then is whether "Victor's Little Secret" with its association with lewd sexual toys creates a "likelihood of dilution by tarnishment" of Victoria's Secret mark.</w:t>
      </w:r>
    </w:p>
    <w:p w:rsidR="00B3299C" w:rsidRDefault="00B3299C" w:rsidP="00B3299C">
      <w:pPr>
        <w:rPr>
          <w:b/>
          <w:bCs/>
        </w:rPr>
      </w:pPr>
    </w:p>
    <w:p w:rsidR="00B3299C" w:rsidRDefault="00B3299C" w:rsidP="00B3299C">
      <w:pPr>
        <w:rPr>
          <w:b/>
          <w:bCs/>
        </w:rPr>
      </w:pPr>
    </w:p>
    <w:p w:rsidR="00B3299C" w:rsidRDefault="00B3299C" w:rsidP="00B3299C">
      <w:r>
        <w:rPr>
          <w:b/>
          <w:bCs/>
        </w:rPr>
        <w:t>II. Application of Statutory Standard</w:t>
      </w:r>
    </w:p>
    <w:p w:rsidR="00B3299C" w:rsidRDefault="00B3299C" w:rsidP="00B3299C">
      <w:pPr>
        <w:spacing w:before="120"/>
      </w:pPr>
      <w:r>
        <w:t>The specific question in this case is whether, without consumer surveys or polls or other evidence, a semantic "association" is equivalent to a liability-creating mental "association" of a junior mark like "Victor's Little Secret" with a famous mark like "Victoria's Secret" that constitutes dilution by tarnishment when the junior mark is used to sell sexual toys, videos and similar soft-core pornographic products. There appears to be a clearly emerging consensus in the case law, . . . that the creation of an "association" between a famous mark and lewd or bawdy sexual activity disparages and defiles the famous mark and reduces the commercial value of its selling power. This consensus stems from an economic prediction about consumer taste and how the predicted reaction of conventional consumers in our culture will affect the economic value of the famous mark.</w:t>
      </w:r>
    </w:p>
    <w:p w:rsidR="00B3299C" w:rsidRDefault="00B3299C" w:rsidP="00B3299C">
      <w:pPr>
        <w:spacing w:before="120"/>
      </w:pPr>
      <w:r>
        <w:t xml:space="preserve">There have been at least eight federal cases in six jurisdictions that conclude that a famous mark is tarnished when its mark is semantically associated with a new mark that is used to sell sex-related products. We find no exceptions in the case law that allow such a new mark associated with sex to stand. </w:t>
      </w:r>
      <w:r>
        <w:rPr>
          <w:i/>
          <w:iCs/>
        </w:rPr>
        <w:t>See Dallas Cowboys Cheerleaders, Inc. v. Pussycat Cinema, Ltd</w:t>
      </w:r>
      <w:r>
        <w:t>., 467 F. Supp. 366, 377 (S.D.N.Y. 1979) (pornographic depiction of a Dallas Cowboys Cheerleader-style cheerleader in an adult film tarnished the professional mark of the Dallas Cowboys).</w:t>
      </w:r>
    </w:p>
    <w:p w:rsidR="00B3299C" w:rsidRDefault="00B3299C" w:rsidP="00B3299C">
      <w:pPr>
        <w:spacing w:before="120"/>
      </w:pPr>
      <w:r>
        <w:t>The phrase "likely to cause dilution" used in the new statute significantly changes the meaning of the law from "causes actual harm" under the pre-existing law. . . .</w:t>
      </w:r>
    </w:p>
    <w:p w:rsidR="00B3299C" w:rsidRDefault="00B3299C" w:rsidP="00B3299C">
      <w:pPr>
        <w:spacing w:before="120"/>
      </w:pPr>
      <w:r>
        <w:t xml:space="preserve">In the present case, the Moseleys have had two opportunities in the District Court to offer evidence that there is no real probability of tarnishment and have not done so. They did not offer at oral argument any suggestion that they could make such a showing or wanted the case remanded for that purpose. The fact that Congress was dissatisfied with the </w:t>
      </w:r>
      <w:r>
        <w:rPr>
          <w:i/>
          <w:iCs/>
        </w:rPr>
        <w:t>Moseley</w:t>
      </w:r>
      <w:r>
        <w:t xml:space="preserve"> result and the </w:t>
      </w:r>
      <w:r>
        <w:rPr>
          <w:i/>
          <w:iCs/>
        </w:rPr>
        <w:t>Moseley</w:t>
      </w:r>
      <w:r>
        <w:t xml:space="preserve"> standard of liability, as well as apparently the </w:t>
      </w:r>
      <w:r>
        <w:rPr>
          <w:i/>
          <w:iCs/>
        </w:rPr>
        <w:t>Moseley</w:t>
      </w:r>
      <w:r>
        <w:t xml:space="preserve"> burden of proof, supports the view of Victoria's Secret that the present record . . . shows a likelihood of tarnishment. Without evidence to the contrary or a persuasive defensive theory that rebuts the presumption, the defendants have given us no basis to reverse the judgment of the District Court. We do not find sufficient the defendants' arguments that they should have the right to use Victor Moseley's first name and that the effect of the association is </w:t>
      </w:r>
      <w:r>
        <w:rPr>
          <w:i/>
          <w:iCs/>
        </w:rPr>
        <w:t>de minimis</w:t>
      </w:r>
      <w:r>
        <w:t>. The Moseleys do not have a right to use the word "secret" in their mark. They use it only to make the association with the Victoria's Secret mark. We agree that the tarnishing effect of the Moseley's mark on the senior mark is somewhat speculative, but we have no evidence to overcome the strong inference created by the case law, the Restatement, and Congressional dissatisfaction with the burden of proof used in this case in the Supreme Court. The new law seems designed to protect trademarks from any unfavorable sexual associations. Thus, any new mark with a lewd or offensive-to-some sexual association raises a strong inference of tarnishment. The inference must be overcome by evidence that rebuts the probability that some consumers will find the new mark both offensive and harmful to the reputation and the favorable symbolism of the famous mark.</w:t>
      </w:r>
    </w:p>
    <w:p w:rsidR="00B3299C" w:rsidRDefault="00B3299C" w:rsidP="00B3299C">
      <w:pPr>
        <w:spacing w:before="120"/>
      </w:pPr>
      <w:r>
        <w:t>Our dissenting colleague, in relying on the Supreme Court treatment of the proof in this case fails to concede what seems obvious: Congress overruled the Supreme Court's view of the burden of proof. As quoted above, it said, "the Moseley standard creates an undue burden for trademark holders who contest diluting uses. . . ."  It seems clear that the new Act demonstrates that Congress intended that a court should reach a different result in this case if the facts remain the same. We do not necessarily disagree with our dissenting colleague that the policy followed by the Supreme Court in such cases may be better. We simply believe that the will of Congress is to the contrary with regard to the proof in this case and with regard to the method of allocating the burden of proof.</w:t>
      </w:r>
    </w:p>
    <w:p w:rsidR="00B3299C" w:rsidRDefault="00B3299C" w:rsidP="00B3299C"/>
    <w:p w:rsidR="00B3299C" w:rsidRDefault="00B3299C" w:rsidP="00B3299C">
      <w:r>
        <w:rPr>
          <w:b/>
          <w:bCs/>
        </w:rPr>
        <w:t>III. Other Issues</w:t>
      </w:r>
    </w:p>
    <w:p w:rsidR="00B3299C" w:rsidRDefault="00B3299C" w:rsidP="00B3299C">
      <w:pPr>
        <w:spacing w:before="120"/>
      </w:pPr>
      <w:r>
        <w:t>[deleted]</w:t>
      </w:r>
    </w:p>
    <w:p w:rsidR="00B3299C" w:rsidRDefault="00B3299C" w:rsidP="00B3299C">
      <w:pPr>
        <w:spacing w:before="120"/>
      </w:pPr>
      <w:r>
        <w:t>Accordingly, the judgment of the District Court is AFFIRMED.</w:t>
      </w:r>
    </w:p>
    <w:p w:rsidR="00B3299C" w:rsidRDefault="00B3299C" w:rsidP="00B3299C">
      <w:pPr>
        <w:rPr>
          <w:b/>
          <w:bCs/>
        </w:rPr>
      </w:pPr>
    </w:p>
    <w:p w:rsidR="00593FED" w:rsidRDefault="00593FED" w:rsidP="00B3299C">
      <w:pPr>
        <w:rPr>
          <w:b/>
          <w:bCs/>
        </w:rPr>
      </w:pPr>
    </w:p>
    <w:p w:rsidR="00B3299C" w:rsidRDefault="00B3299C" w:rsidP="00B3299C">
      <w:r>
        <w:rPr>
          <w:b/>
          <w:bCs/>
        </w:rPr>
        <w:t xml:space="preserve">CONCUR BY:  </w:t>
      </w:r>
      <w:r>
        <w:t xml:space="preserve">JULIA SMITH GIBBONS, Circuit Judge, concurring. </w:t>
      </w:r>
    </w:p>
    <w:p w:rsidR="00B3299C" w:rsidRDefault="00B3299C" w:rsidP="00B3299C"/>
    <w:p w:rsidR="00B3299C" w:rsidRDefault="00B3299C" w:rsidP="00B3299C">
      <w:r>
        <w:t xml:space="preserve">I fully concur in the majority opinion with the exception of one small quibble. I would not use the term "rebuttable presumption" to describe the inference that a new mark used to sell sex-related products is likely to tarnish a famous mark </w:t>
      </w:r>
      <w:r>
        <w:lastRenderedPageBreak/>
        <w:t>if there is a clear semantic association between the two. Practically speaking, what the inference is called makes little difference. I agree with the majority opinion that the inference is a strong one and that, to counter it, some evidence that there is no likelihood or probability of tarnishment is required. But because we are endeavoring to interpret a new law and because the legislative history is not explicit on the point of modification of the burden of proof, I think it best to end our analysis by characterizing the inference as an inference.</w:t>
      </w:r>
    </w:p>
    <w:p w:rsidR="00B3299C" w:rsidRDefault="00B3299C" w:rsidP="00B3299C"/>
    <w:p w:rsidR="00B3299C" w:rsidRDefault="00B3299C" w:rsidP="00B3299C">
      <w:pPr>
        <w:rPr>
          <w:b/>
          <w:bCs/>
        </w:rPr>
      </w:pPr>
    </w:p>
    <w:p w:rsidR="00B3299C" w:rsidRDefault="00B3299C" w:rsidP="00B3299C">
      <w:r>
        <w:rPr>
          <w:b/>
          <w:bCs/>
        </w:rPr>
        <w:t xml:space="preserve">DISSENT BY:  </w:t>
      </w:r>
      <w:r>
        <w:t xml:space="preserve">KAREN NELSON MOORE, Circuit Judge, dissenting. </w:t>
      </w:r>
    </w:p>
    <w:p w:rsidR="00B3299C" w:rsidRDefault="00B3299C" w:rsidP="00B3299C">
      <w:pPr>
        <w:spacing w:before="120"/>
      </w:pPr>
      <w:r>
        <w:t>Because I believe that Victoria's Secret has failed to produce sufficient evidence to show that the Moseleys' use of the name "Victor's Little Secret" is likely to tarnish the VICTORIA'S SECRET mark, I would reverse the judgment of the district court and must respectfully dissent.</w:t>
      </w:r>
    </w:p>
    <w:p w:rsidR="00B3299C" w:rsidRDefault="00B3299C" w:rsidP="00B3299C">
      <w:pPr>
        <w:spacing w:before="120"/>
      </w:pPr>
      <w:r>
        <w:t xml:space="preserve">Under the Trademark Dilution Revision Act of 2006 ("TDRA"), Victoria's Secret is entitled to injunctive relief if the Moseleys' use of "Victor's Little Secret" as the name of their adult-oriented novelty store "is likely to cause dilution . . . by tarnishment of the" VICTORIA'S SECRET mark. 15 U.S.C. § 1125(c)(1). "[D]ilution by tarnishment" is defined as an "association arising from the similarity between a mark or trade name and a famous mark that harms the reputation of the famous mark." </w:t>
      </w:r>
      <w:r>
        <w:rPr>
          <w:i/>
          <w:iCs/>
        </w:rPr>
        <w:t>Id</w:t>
      </w:r>
      <w:r>
        <w:t>. § 1125(c)(2)(C).  Thus, under the terms of the statute, to determine whether the VICTORIA'S SECRET mark is likely to be tarnished by the Moseleys' use, this court must inquire as to both the "association" between the two marks and the "harm" that the association causes to the senior mark.</w:t>
      </w:r>
    </w:p>
    <w:p w:rsidR="00B3299C" w:rsidRDefault="00B3299C" w:rsidP="00B3299C">
      <w:pPr>
        <w:spacing w:before="120"/>
      </w:pPr>
      <w:r>
        <w:t xml:space="preserve">Because I agree that there is a clear association between the two marks, the determinative inquiry in this dilution-by-tarnishment case is whether that association is likely to harm Victoria's Secret's reputation.  Contrary to the majority's conclusion, however, given the record before the panel, I would hold that Victoria's Secret has failed to meet its burden to show that the Moseleys' use of "Victor's Little Secret" is likely to dilute Victoria's Secret's mark. . . .  </w:t>
      </w:r>
    </w:p>
    <w:p w:rsidR="00B3299C" w:rsidRDefault="00B3299C" w:rsidP="00B3299C">
      <w:pPr>
        <w:spacing w:after="160" w:line="259" w:lineRule="auto"/>
      </w:pPr>
      <w:r>
        <w:t>With its conclusion that there is sufficient evidence of harm to the reputation of the VICTORIA'S SECRET mark based solely on the sexual nature of the junior mark, the majority sanctions an almost non-existent evidentiary standard and, in the process, essentially eliminates the requirement that a plaintiff provide some semblance of proof of likelihood of reputational harm in order to prevail on a tarnishment claim, despite the plain language of 15 U.S.C. § 1125(c)(2). Because I believe that Victoria's Secret has not met its burden to show that "Victor's Little Secret" is likely to dilute the famous mark by way of tarnishment, I respectfully dissent.</w:t>
      </w:r>
      <w:r>
        <w:br w:type="page"/>
      </w:r>
    </w:p>
    <w:p w:rsidR="00032A5B" w:rsidRPr="00BD7720" w:rsidRDefault="00032A5B" w:rsidP="00032A5B">
      <w:r w:rsidRPr="00F25075">
        <w:rPr>
          <w:sz w:val="28"/>
          <w:szCs w:val="28"/>
        </w:rPr>
        <w:lastRenderedPageBreak/>
        <w:t>VI.</w:t>
      </w:r>
      <w:r w:rsidRPr="00F25075">
        <w:rPr>
          <w:sz w:val="28"/>
          <w:szCs w:val="28"/>
        </w:rPr>
        <w:tab/>
        <w:t>Contract Law</w:t>
      </w:r>
    </w:p>
    <w:p w:rsidR="00B3299C" w:rsidRDefault="00032A5B">
      <w:pPr>
        <w:spacing w:after="160" w:line="259" w:lineRule="auto"/>
        <w:rPr>
          <w:sz w:val="32"/>
        </w:rPr>
      </w:pPr>
      <w:r>
        <w:rPr>
          <w:sz w:val="32"/>
        </w:rPr>
        <w:br w:type="page"/>
      </w:r>
    </w:p>
    <w:p w:rsidR="00032A5B" w:rsidRPr="008444EF" w:rsidRDefault="00032A5B" w:rsidP="00032A5B">
      <w:pPr>
        <w:jc w:val="center"/>
      </w:pPr>
      <w:r w:rsidRPr="008444EF">
        <w:lastRenderedPageBreak/>
        <w:t>ROGER J. DINES v. LIBERTY MUTUAL INSURANCE COMPANY</w:t>
      </w:r>
    </w:p>
    <w:p w:rsidR="00032A5B" w:rsidRPr="008444EF" w:rsidRDefault="00032A5B" w:rsidP="00032A5B">
      <w:pPr>
        <w:ind w:left="154" w:right="154"/>
        <w:jc w:val="center"/>
      </w:pPr>
      <w:r w:rsidRPr="008444EF">
        <w:br/>
        <w:t>Appeals Court of Massachusetts, Worcester</w:t>
      </w:r>
    </w:p>
    <w:p w:rsidR="00032A5B" w:rsidRPr="008444EF" w:rsidRDefault="00032A5B" w:rsidP="00032A5B">
      <w:pPr>
        <w:ind w:left="154" w:right="154"/>
        <w:jc w:val="center"/>
      </w:pPr>
      <w:r w:rsidRPr="008444EF">
        <w:br/>
      </w:r>
      <w:smartTag w:uri="urn:schemas-microsoft-com:office:smarttags" w:element="Street">
        <w:smartTag w:uri="urn:schemas-microsoft-com:office:smarttags" w:element="address">
          <w:r w:rsidRPr="008444EF">
            <w:t>28 Mass. App. Ct.</w:t>
          </w:r>
        </w:smartTag>
      </w:smartTag>
      <w:r w:rsidRPr="008444EF">
        <w:t xml:space="preserve"> 195; </w:t>
      </w:r>
      <w:bookmarkStart w:id="0" w:name="HIT_1"/>
      <w:bookmarkStart w:id="1" w:name="ORIGHIT_1"/>
      <w:bookmarkEnd w:id="0"/>
      <w:bookmarkEnd w:id="1"/>
      <w:r w:rsidRPr="008444EF">
        <w:rPr>
          <w:rStyle w:val="hit"/>
        </w:rPr>
        <w:t>548 N.E.2d 1268</w:t>
      </w:r>
    </w:p>
    <w:p w:rsidR="00032A5B" w:rsidRPr="008444EF" w:rsidRDefault="00032A5B" w:rsidP="00032A5B">
      <w:pPr>
        <w:ind w:left="154" w:right="154"/>
        <w:jc w:val="center"/>
      </w:pPr>
      <w:r w:rsidRPr="008444EF">
        <w:br/>
      </w:r>
      <w:smartTag w:uri="urn:schemas-microsoft-com:office:smarttags" w:element="date">
        <w:smartTagPr>
          <w:attr w:name="Month" w:val="10"/>
          <w:attr w:name="Day" w:val="13"/>
          <w:attr w:name="Year" w:val="1989"/>
        </w:smartTagPr>
        <w:r w:rsidRPr="008444EF">
          <w:t>October 13, 1989</w:t>
        </w:r>
      </w:smartTag>
      <w:r w:rsidRPr="008444EF">
        <w:t xml:space="preserve"> </w:t>
      </w:r>
      <w:r w:rsidRPr="008444EF">
        <w:br/>
      </w:r>
      <w:smartTag w:uri="urn:schemas-microsoft-com:office:smarttags" w:element="date">
        <w:smartTagPr>
          <w:attr w:name="Month" w:val="1"/>
          <w:attr w:name="Day" w:val="11"/>
          <w:attr w:name="Year" w:val="1990"/>
        </w:smartTagPr>
        <w:r w:rsidRPr="008444EF">
          <w:t>January 11, 1990</w:t>
        </w:r>
      </w:smartTag>
      <w:r w:rsidRPr="008444EF">
        <w:t xml:space="preserve"> </w:t>
      </w:r>
    </w:p>
    <w:p w:rsidR="00032A5B" w:rsidRPr="008444EF" w:rsidRDefault="00032A5B" w:rsidP="00032A5B">
      <w:pPr>
        <w:ind w:left="154" w:right="154"/>
        <w:rPr>
          <w:rStyle w:val="verdana"/>
        </w:rPr>
      </w:pPr>
      <w:r w:rsidRPr="008444EF">
        <w:br/>
      </w:r>
      <w:r w:rsidRPr="00C34AB5">
        <w:rPr>
          <w:rStyle w:val="verdana"/>
          <w:bCs/>
        </w:rPr>
        <w:t>JUDGES:</w:t>
      </w:r>
      <w:r w:rsidRPr="00C34AB5">
        <w:rPr>
          <w:rStyle w:val="verdana"/>
        </w:rPr>
        <w:t xml:space="preserve"> Warner, C.J., Kass, &amp; Smith, JJ.</w:t>
      </w:r>
      <w:r w:rsidRPr="00C34AB5">
        <w:br/>
      </w:r>
      <w:r w:rsidRPr="00C34AB5">
        <w:br/>
      </w:r>
      <w:r w:rsidRPr="00C34AB5">
        <w:rPr>
          <w:rStyle w:val="verdana"/>
          <w:bCs/>
        </w:rPr>
        <w:t>OPINION BY:</w:t>
      </w:r>
      <w:r w:rsidRPr="008444EF">
        <w:rPr>
          <w:rStyle w:val="verdana"/>
        </w:rPr>
        <w:t xml:space="preserve"> </w:t>
      </w:r>
      <w:r>
        <w:rPr>
          <w:rStyle w:val="verdana"/>
        </w:rPr>
        <w:t xml:space="preserve"> </w:t>
      </w:r>
      <w:r w:rsidRPr="008444EF">
        <w:rPr>
          <w:rStyle w:val="verdana"/>
        </w:rPr>
        <w:t xml:space="preserve">SMITH </w:t>
      </w:r>
      <w:r w:rsidRPr="008444EF">
        <w:br/>
      </w:r>
      <w:r w:rsidRPr="008444EF">
        <w:br/>
        <w:t xml:space="preserve">The plaintiff is engaged in the business of towing and storing vehicles. </w:t>
      </w:r>
      <w:bookmarkStart w:id="2" w:name="PAGE_2_7211"/>
      <w:bookmarkEnd w:id="2"/>
      <w:r w:rsidRPr="008444EF">
        <w:t> He brought an action in District Court seeking to recover for storage of a vehicle owned by the defendant</w:t>
      </w:r>
      <w:r>
        <w:rPr>
          <w:rStyle w:val="crosslinkpopup"/>
        </w:rPr>
        <w:t xml:space="preserve">. </w:t>
      </w:r>
      <w:r w:rsidRPr="008444EF">
        <w:rPr>
          <w:rStyle w:val="verdana"/>
        </w:rPr>
        <w:t>The case was tried on a statement of agreed facts,</w:t>
      </w:r>
      <w:r>
        <w:rPr>
          <w:rStyle w:val="verdana"/>
        </w:rPr>
        <w:t xml:space="preserve"> which we summarize as follows.</w:t>
      </w:r>
    </w:p>
    <w:p w:rsidR="00032A5B" w:rsidRPr="008444EF" w:rsidRDefault="00032A5B" w:rsidP="00032A5B">
      <w:pPr>
        <w:pStyle w:val="loose"/>
        <w:ind w:left="154" w:right="154"/>
        <w:rPr>
          <w:sz w:val="20"/>
          <w:szCs w:val="20"/>
        </w:rPr>
      </w:pPr>
      <w:r w:rsidRPr="008444EF">
        <w:rPr>
          <w:sz w:val="20"/>
          <w:szCs w:val="20"/>
        </w:rPr>
        <w:t xml:space="preserve">On </w:t>
      </w:r>
      <w:smartTag w:uri="urn:schemas-microsoft-com:office:smarttags" w:element="date">
        <w:smartTagPr>
          <w:attr w:name="Year" w:val="1985"/>
          <w:attr w:name="Day" w:val="15"/>
          <w:attr w:name="Month" w:val="10"/>
          <w:attr w:name="ls" w:val="trans"/>
        </w:smartTagPr>
        <w:r w:rsidRPr="008444EF">
          <w:rPr>
            <w:sz w:val="20"/>
            <w:szCs w:val="20"/>
          </w:rPr>
          <w:t>October 15, 1985</w:t>
        </w:r>
      </w:smartTag>
      <w:r w:rsidRPr="008444EF">
        <w:rPr>
          <w:sz w:val="20"/>
          <w:szCs w:val="20"/>
        </w:rPr>
        <w:t xml:space="preserve">, the State police recovered a stolen trailer. Its owner was unknown. The police ordered it towed to the plaintiff's storage facility. On </w:t>
      </w:r>
      <w:smartTag w:uri="urn:schemas-microsoft-com:office:smarttags" w:element="date">
        <w:smartTagPr>
          <w:attr w:name="Year" w:val="1986"/>
          <w:attr w:name="Day" w:val="7"/>
          <w:attr w:name="Month" w:val="1"/>
          <w:attr w:name="ls" w:val="trans"/>
        </w:smartTagPr>
        <w:r w:rsidRPr="008444EF">
          <w:rPr>
            <w:sz w:val="20"/>
            <w:szCs w:val="20"/>
          </w:rPr>
          <w:t>January 7, 1986</w:t>
        </w:r>
      </w:smartTag>
      <w:r w:rsidRPr="008444EF">
        <w:rPr>
          <w:sz w:val="20"/>
          <w:szCs w:val="20"/>
        </w:rPr>
        <w:t xml:space="preserve">, the defendant, </w:t>
      </w:r>
      <w:bookmarkStart w:id="3" w:name="PAGE_196_3213"/>
      <w:bookmarkEnd w:id="3"/>
      <w:r w:rsidRPr="008444EF">
        <w:rPr>
          <w:sz w:val="20"/>
          <w:szCs w:val="20"/>
        </w:rPr>
        <w:t>owner of the trailer, learned that it was in the plaintiff's possession but did nothing to regain it.</w:t>
      </w:r>
    </w:p>
    <w:p w:rsidR="00032A5B" w:rsidRPr="008444EF" w:rsidRDefault="00032A5B" w:rsidP="00032A5B">
      <w:pPr>
        <w:pStyle w:val="loose"/>
        <w:ind w:left="154" w:right="154"/>
        <w:rPr>
          <w:sz w:val="20"/>
          <w:szCs w:val="20"/>
        </w:rPr>
      </w:pPr>
      <w:r w:rsidRPr="008444EF">
        <w:rPr>
          <w:sz w:val="20"/>
          <w:szCs w:val="20"/>
        </w:rPr>
        <w:t xml:space="preserve">On </w:t>
      </w:r>
      <w:smartTag w:uri="urn:schemas-microsoft-com:office:smarttags" w:element="date">
        <w:smartTagPr>
          <w:attr w:name="Year" w:val="1986"/>
          <w:attr w:name="Day" w:val="11"/>
          <w:attr w:name="Month" w:val="3"/>
          <w:attr w:name="ls" w:val="trans"/>
        </w:smartTagPr>
        <w:r w:rsidRPr="008444EF">
          <w:rPr>
            <w:sz w:val="20"/>
            <w:szCs w:val="20"/>
          </w:rPr>
          <w:t>March 11, 1986</w:t>
        </w:r>
      </w:smartTag>
      <w:r w:rsidRPr="008444EF">
        <w:rPr>
          <w:sz w:val="20"/>
          <w:szCs w:val="20"/>
        </w:rPr>
        <w:t xml:space="preserve">, the plaintiff discovered that the defendant was the owner of the property. On </w:t>
      </w:r>
      <w:smartTag w:uri="urn:schemas-microsoft-com:office:smarttags" w:element="date">
        <w:smartTagPr>
          <w:attr w:name="Year" w:val="1986"/>
          <w:attr w:name="Day" w:val="14"/>
          <w:attr w:name="Month" w:val="3"/>
          <w:attr w:name="ls" w:val="trans"/>
        </w:smartTagPr>
        <w:r w:rsidRPr="008444EF">
          <w:rPr>
            <w:sz w:val="20"/>
            <w:szCs w:val="20"/>
          </w:rPr>
          <w:t>March 14, 1986</w:t>
        </w:r>
      </w:smartTag>
      <w:r w:rsidRPr="008444EF">
        <w:rPr>
          <w:sz w:val="20"/>
          <w:szCs w:val="20"/>
        </w:rPr>
        <w:t xml:space="preserve">, the plaintiff gave written notice to the defendant that its trailer was at his storage facility. He enclosed an itemized invoice for $2,980 in storage charges, based on twenty dollars a day from </w:t>
      </w:r>
      <w:smartTag w:uri="urn:schemas-microsoft-com:office:smarttags" w:element="date">
        <w:smartTagPr>
          <w:attr w:name="Year" w:val="1985"/>
          <w:attr w:name="Day" w:val="15"/>
          <w:attr w:name="Month" w:val="10"/>
          <w:attr w:name="ls" w:val="trans"/>
        </w:smartTagPr>
        <w:r w:rsidRPr="008444EF">
          <w:rPr>
            <w:sz w:val="20"/>
            <w:szCs w:val="20"/>
          </w:rPr>
          <w:t>October 15, 1985</w:t>
        </w:r>
      </w:smartTag>
      <w:r w:rsidRPr="008444EF">
        <w:rPr>
          <w:sz w:val="20"/>
          <w:szCs w:val="20"/>
        </w:rPr>
        <w:t xml:space="preserve">, the date that he received the trailer from the police. The defendant refused to pay the charges, claiming that it owed only from </w:t>
      </w:r>
      <w:smartTag w:uri="urn:schemas-microsoft-com:office:smarttags" w:element="date">
        <w:smartTagPr>
          <w:attr w:name="Year" w:val="1986"/>
          <w:attr w:name="Day" w:val="7"/>
          <w:attr w:name="Month" w:val="1"/>
          <w:attr w:name="ls" w:val="trans"/>
        </w:smartTagPr>
        <w:r w:rsidRPr="008444EF">
          <w:rPr>
            <w:sz w:val="20"/>
            <w:szCs w:val="20"/>
          </w:rPr>
          <w:t>January 7, 1986</w:t>
        </w:r>
      </w:smartTag>
      <w:r w:rsidRPr="008444EF">
        <w:rPr>
          <w:sz w:val="20"/>
          <w:szCs w:val="20"/>
        </w:rPr>
        <w:t>, the date that it learned the location of the trailer. The defendant retained possession of the trailer.</w:t>
      </w:r>
    </w:p>
    <w:p w:rsidR="00032A5B" w:rsidRPr="008444EF" w:rsidRDefault="00032A5B" w:rsidP="00032A5B">
      <w:pPr>
        <w:pStyle w:val="loose"/>
        <w:ind w:left="154" w:right="154"/>
        <w:rPr>
          <w:sz w:val="20"/>
          <w:szCs w:val="20"/>
        </w:rPr>
      </w:pPr>
      <w:r w:rsidRPr="008444EF">
        <w:rPr>
          <w:sz w:val="20"/>
          <w:szCs w:val="20"/>
        </w:rPr>
        <w:t xml:space="preserve">On </w:t>
      </w:r>
      <w:smartTag w:uri="urn:schemas-microsoft-com:office:smarttags" w:element="date">
        <w:smartTagPr>
          <w:attr w:name="Year" w:val="1987"/>
          <w:attr w:name="Day" w:val="11"/>
          <w:attr w:name="Month" w:val="3"/>
          <w:attr w:name="ls" w:val="trans"/>
        </w:smartTagPr>
        <w:r w:rsidRPr="008444EF">
          <w:rPr>
            <w:sz w:val="20"/>
            <w:szCs w:val="20"/>
          </w:rPr>
          <w:t>March 11, 1987</w:t>
        </w:r>
      </w:smartTag>
      <w:r w:rsidRPr="008444EF">
        <w:rPr>
          <w:sz w:val="20"/>
          <w:szCs w:val="20"/>
        </w:rPr>
        <w:t>, the defendant brought an action in the nature of replevin against the</w:t>
      </w:r>
      <w:bookmarkStart w:id="4" w:name="PAGE_3_7211"/>
      <w:bookmarkEnd w:id="4"/>
      <w:r w:rsidRPr="008444EF">
        <w:rPr>
          <w:sz w:val="20"/>
          <w:szCs w:val="20"/>
        </w:rPr>
        <w:t xml:space="preserve"> plaintiff, seeking recovery of the trailer. On </w:t>
      </w:r>
      <w:smartTag w:uri="urn:schemas-microsoft-com:office:smarttags" w:element="date">
        <w:smartTagPr>
          <w:attr w:name="Year" w:val="1987"/>
          <w:attr w:name="Day" w:val="18"/>
          <w:attr w:name="Month" w:val="3"/>
          <w:attr w:name="ls" w:val="trans"/>
        </w:smartTagPr>
        <w:r w:rsidRPr="008444EF">
          <w:rPr>
            <w:sz w:val="20"/>
            <w:szCs w:val="20"/>
          </w:rPr>
          <w:t>March 18, 1987</w:t>
        </w:r>
      </w:smartTag>
      <w:r w:rsidRPr="008444EF">
        <w:rPr>
          <w:sz w:val="20"/>
          <w:szCs w:val="20"/>
        </w:rPr>
        <w:t xml:space="preserve">, the parties entered into an agreement. The plaintiff released the trailer to the defendant, and the defendant agreed to drop its replevin action. </w:t>
      </w:r>
      <w:r>
        <w:rPr>
          <w:sz w:val="20"/>
          <w:szCs w:val="20"/>
        </w:rPr>
        <w:t>[</w:t>
      </w:r>
      <w:r w:rsidRPr="00F9544E">
        <w:rPr>
          <w:b/>
          <w:sz w:val="20"/>
          <w:szCs w:val="20"/>
        </w:rPr>
        <w:t>Note</w:t>
      </w:r>
      <w:r>
        <w:rPr>
          <w:sz w:val="20"/>
          <w:szCs w:val="20"/>
        </w:rPr>
        <w:t xml:space="preserve">: an action for replevin is an old common law remedy for recover of property wrongful held by another person.]  </w:t>
      </w:r>
      <w:r w:rsidRPr="008444EF">
        <w:rPr>
          <w:sz w:val="20"/>
          <w:szCs w:val="20"/>
        </w:rPr>
        <w:t xml:space="preserve">The defendant also agreed that the plaintiff could bring an action in an attempt to recover storage charges. The defendant later sent the plaintiff a check for $1,260 as payment of storage charges from </w:t>
      </w:r>
      <w:smartTag w:uri="urn:schemas-microsoft-com:office:smarttags" w:element="date">
        <w:smartTagPr>
          <w:attr w:name="Year" w:val="1986"/>
          <w:attr w:name="Day" w:val="7"/>
          <w:attr w:name="Month" w:val="1"/>
          <w:attr w:name="ls" w:val="trans"/>
        </w:smartTagPr>
        <w:r w:rsidRPr="008444EF">
          <w:rPr>
            <w:sz w:val="20"/>
            <w:szCs w:val="20"/>
          </w:rPr>
          <w:t>January 7, 1986</w:t>
        </w:r>
      </w:smartTag>
      <w:r w:rsidRPr="008444EF">
        <w:rPr>
          <w:sz w:val="20"/>
          <w:szCs w:val="20"/>
        </w:rPr>
        <w:t xml:space="preserve">, to </w:t>
      </w:r>
      <w:smartTag w:uri="urn:schemas-microsoft-com:office:smarttags" w:element="date">
        <w:smartTagPr>
          <w:attr w:name="Year" w:val="1986"/>
          <w:attr w:name="Day" w:val="10"/>
          <w:attr w:name="Month" w:val="3"/>
          <w:attr w:name="ls" w:val="trans"/>
        </w:smartTagPr>
        <w:r w:rsidRPr="008444EF">
          <w:rPr>
            <w:sz w:val="20"/>
            <w:szCs w:val="20"/>
          </w:rPr>
          <w:t>March 10, 1986</w:t>
        </w:r>
      </w:smartTag>
      <w:r w:rsidRPr="008444EF">
        <w:rPr>
          <w:sz w:val="20"/>
          <w:szCs w:val="20"/>
        </w:rPr>
        <w:t>, at the rate of twenty dollars per day. The plaintiff accepted the check as partial payment and without prejudice to an action against the defendant for the balance of the storage charges. The plaintiff then brought the present action in which he asked for $10,400. That sum represented storage charges from the date he received the trailer from the State police to the date that he returned it to the defendant.</w:t>
      </w:r>
    </w:p>
    <w:p w:rsidR="00032A5B" w:rsidRPr="008444EF" w:rsidRDefault="00032A5B" w:rsidP="00032A5B">
      <w:pPr>
        <w:pStyle w:val="loose"/>
        <w:ind w:left="154" w:right="154"/>
        <w:rPr>
          <w:sz w:val="20"/>
          <w:szCs w:val="20"/>
        </w:rPr>
      </w:pPr>
      <w:r w:rsidRPr="008444EF">
        <w:rPr>
          <w:sz w:val="20"/>
          <w:szCs w:val="20"/>
        </w:rPr>
        <w:t xml:space="preserve">The trial judge found that the plaintiff's storage rates were reasonable </w:t>
      </w:r>
      <w:r>
        <w:rPr>
          <w:sz w:val="20"/>
          <w:szCs w:val="20"/>
        </w:rPr>
        <w:t xml:space="preserve">. . . </w:t>
      </w:r>
      <w:r w:rsidRPr="008444EF">
        <w:rPr>
          <w:sz w:val="20"/>
          <w:szCs w:val="20"/>
        </w:rPr>
        <w:t xml:space="preserve">The judge ruled </w:t>
      </w:r>
      <w:bookmarkStart w:id="5" w:name="PAGE_197_3213"/>
      <w:bookmarkEnd w:id="5"/>
      <w:r w:rsidRPr="008444EF">
        <w:rPr>
          <w:sz w:val="20"/>
          <w:szCs w:val="20"/>
        </w:rPr>
        <w:t xml:space="preserve">that the plaintiff was entitled to twenty dollars per day for the period which he claimed, </w:t>
      </w:r>
      <w:smartTag w:uri="urn:schemas-microsoft-com:office:smarttags" w:element="date">
        <w:smartTagPr>
          <w:attr w:name="Year" w:val="1985"/>
          <w:attr w:name="Day" w:val="15"/>
          <w:attr w:name="Month" w:val="10"/>
          <w:attr w:name="ls" w:val="trans"/>
        </w:smartTagPr>
        <w:r w:rsidRPr="008444EF">
          <w:rPr>
            <w:sz w:val="20"/>
            <w:szCs w:val="20"/>
          </w:rPr>
          <w:t>October 15, 1985</w:t>
        </w:r>
      </w:smartTag>
      <w:r w:rsidRPr="008444EF">
        <w:rPr>
          <w:sz w:val="20"/>
          <w:szCs w:val="20"/>
        </w:rPr>
        <w:t>, the date that the plaintiff</w:t>
      </w:r>
      <w:bookmarkStart w:id="6" w:name="PAGE_4_7211"/>
      <w:bookmarkEnd w:id="6"/>
      <w:r>
        <w:rPr>
          <w:sz w:val="20"/>
          <w:szCs w:val="20"/>
        </w:rPr>
        <w:t xml:space="preserve"> </w:t>
      </w:r>
      <w:r w:rsidRPr="008444EF">
        <w:rPr>
          <w:sz w:val="20"/>
          <w:szCs w:val="20"/>
        </w:rPr>
        <w:t xml:space="preserve">received the trailer until </w:t>
      </w:r>
      <w:smartTag w:uri="urn:schemas-microsoft-com:office:smarttags" w:element="date">
        <w:smartTagPr>
          <w:attr w:name="Year" w:val="1987"/>
          <w:attr w:name="Day" w:val="18"/>
          <w:attr w:name="Month" w:val="3"/>
          <w:attr w:name="ls" w:val="trans"/>
        </w:smartTagPr>
        <w:r w:rsidRPr="008444EF">
          <w:rPr>
            <w:sz w:val="20"/>
            <w:szCs w:val="20"/>
          </w:rPr>
          <w:t>March 18, 1987</w:t>
        </w:r>
      </w:smartTag>
      <w:r w:rsidRPr="008444EF">
        <w:rPr>
          <w:sz w:val="20"/>
          <w:szCs w:val="20"/>
        </w:rPr>
        <w:t xml:space="preserve">. He held that a "quasi-contract " existed between the parties. </w:t>
      </w:r>
      <w:r>
        <w:rPr>
          <w:sz w:val="20"/>
          <w:szCs w:val="20"/>
        </w:rPr>
        <w:t xml:space="preserve"> </w:t>
      </w:r>
      <w:r w:rsidRPr="008444EF">
        <w:rPr>
          <w:sz w:val="20"/>
          <w:szCs w:val="20"/>
        </w:rPr>
        <w:t>The judge then limited the plaintiff's recovery to the fair and reasonable value of the trailer, which he set at $5,000. Judgment was issued in favor of the plaintiff for $3,740</w:t>
      </w:r>
      <w:bookmarkStart w:id="7" w:name="PAGE_1270_4912"/>
      <w:bookmarkEnd w:id="7"/>
      <w:r w:rsidRPr="008444EF">
        <w:rPr>
          <w:sz w:val="20"/>
          <w:szCs w:val="20"/>
        </w:rPr>
        <w:t xml:space="preserve"> ($5,000 minus $1,260 already paid to the plaintiff).</w:t>
      </w:r>
    </w:p>
    <w:p w:rsidR="00032A5B" w:rsidRPr="008444EF" w:rsidRDefault="00032A5B" w:rsidP="00032A5B">
      <w:pPr>
        <w:pStyle w:val="loose"/>
        <w:ind w:left="154" w:right="154"/>
        <w:rPr>
          <w:sz w:val="20"/>
          <w:szCs w:val="20"/>
        </w:rPr>
      </w:pPr>
      <w:bookmarkStart w:id="8" w:name="PAGE_5_7211"/>
      <w:bookmarkEnd w:id="8"/>
      <w:r w:rsidRPr="008444EF">
        <w:rPr>
          <w:sz w:val="20"/>
          <w:szCs w:val="20"/>
        </w:rPr>
        <w:t xml:space="preserve">Both parties have appealed to this court. </w:t>
      </w:r>
      <w:r>
        <w:rPr>
          <w:sz w:val="20"/>
          <w:szCs w:val="20"/>
        </w:rPr>
        <w:t>. . .</w:t>
      </w:r>
    </w:p>
    <w:p w:rsidR="00032A5B" w:rsidRPr="008444EF" w:rsidRDefault="00032A5B" w:rsidP="00032A5B">
      <w:pPr>
        <w:pStyle w:val="loose"/>
        <w:ind w:left="154" w:right="154"/>
        <w:rPr>
          <w:sz w:val="20"/>
          <w:szCs w:val="20"/>
        </w:rPr>
      </w:pPr>
      <w:r w:rsidRPr="008444EF">
        <w:rPr>
          <w:sz w:val="20"/>
          <w:szCs w:val="20"/>
        </w:rPr>
        <w:t xml:space="preserve">The judge's finding that a contract implied in law </w:t>
      </w:r>
      <w:r>
        <w:rPr>
          <w:sz w:val="20"/>
          <w:szCs w:val="20"/>
        </w:rPr>
        <w:t>(</w:t>
      </w:r>
      <w:r w:rsidRPr="008444EF">
        <w:rPr>
          <w:sz w:val="20"/>
          <w:szCs w:val="20"/>
        </w:rPr>
        <w:t>or a quasi-contract</w:t>
      </w:r>
      <w:r>
        <w:rPr>
          <w:sz w:val="20"/>
          <w:szCs w:val="20"/>
        </w:rPr>
        <w:t>)</w:t>
      </w:r>
      <w:r w:rsidRPr="008444EF">
        <w:rPr>
          <w:sz w:val="20"/>
          <w:szCs w:val="20"/>
        </w:rPr>
        <w:t xml:space="preserve"> existed between the parties was not erroneous.</w:t>
      </w:r>
      <w:bookmarkStart w:id="9" w:name="clsccl1"/>
      <w:bookmarkEnd w:id="9"/>
      <w:r>
        <w:rPr>
          <w:sz w:val="20"/>
          <w:szCs w:val="20"/>
        </w:rPr>
        <w:t xml:space="preserve"> . . .  </w:t>
      </w:r>
      <w:r w:rsidRPr="008444EF">
        <w:rPr>
          <w:sz w:val="20"/>
          <w:szCs w:val="20"/>
        </w:rPr>
        <w:t>It has long been recognized that</w:t>
      </w:r>
      <w:bookmarkStart w:id="10" w:name="clsccl2"/>
      <w:bookmarkEnd w:id="10"/>
      <w:r>
        <w:rPr>
          <w:sz w:val="20"/>
          <w:szCs w:val="20"/>
        </w:rPr>
        <w:t xml:space="preserve"> </w:t>
      </w:r>
      <w:r w:rsidRPr="008444EF">
        <w:rPr>
          <w:sz w:val="20"/>
          <w:szCs w:val="20"/>
        </w:rPr>
        <w:t xml:space="preserve">one who has involuntarily received another's property has the right to recover </w:t>
      </w:r>
      <w:r>
        <w:rPr>
          <w:sz w:val="20"/>
          <w:szCs w:val="20"/>
        </w:rPr>
        <w:t>“</w:t>
      </w:r>
      <w:r w:rsidRPr="008444EF">
        <w:rPr>
          <w:sz w:val="20"/>
          <w:szCs w:val="20"/>
        </w:rPr>
        <w:t>compensation for the care and expense of keeping and preserving it.</w:t>
      </w:r>
      <w:r>
        <w:rPr>
          <w:sz w:val="20"/>
          <w:szCs w:val="20"/>
        </w:rPr>
        <w:t xml:space="preserve">” . . .  </w:t>
      </w:r>
      <w:r w:rsidRPr="008444EF">
        <w:rPr>
          <w:sz w:val="20"/>
          <w:szCs w:val="20"/>
        </w:rPr>
        <w:t>Other jurisdictions have applied this concept to award storage charges to a facility in the same set of circumstances confronted here.</w:t>
      </w:r>
    </w:p>
    <w:p w:rsidR="00032A5B" w:rsidRPr="008444EF" w:rsidRDefault="00032A5B" w:rsidP="00032A5B">
      <w:pPr>
        <w:pStyle w:val="loose"/>
        <w:ind w:left="154" w:right="154"/>
        <w:rPr>
          <w:sz w:val="20"/>
          <w:szCs w:val="20"/>
        </w:rPr>
      </w:pPr>
      <w:bookmarkStart w:id="11" w:name="clsccl4"/>
      <w:bookmarkEnd w:id="11"/>
      <w:r>
        <w:rPr>
          <w:sz w:val="20"/>
          <w:szCs w:val="20"/>
        </w:rPr>
        <w:t>“</w:t>
      </w:r>
      <w:r w:rsidRPr="008444EF">
        <w:rPr>
          <w:sz w:val="20"/>
          <w:szCs w:val="20"/>
        </w:rPr>
        <w:t>The underlying basis for awarding quantum meruit damages in a quasi-contract case is unjust enrichment of one party and unjust detriment to the other party.</w:t>
      </w:r>
      <w:r>
        <w:rPr>
          <w:sz w:val="20"/>
          <w:szCs w:val="20"/>
        </w:rPr>
        <w:t>”</w:t>
      </w:r>
      <w:r w:rsidRPr="008444EF">
        <w:rPr>
          <w:sz w:val="20"/>
          <w:szCs w:val="20"/>
        </w:rPr>
        <w:t xml:space="preserve"> </w:t>
      </w:r>
      <w:r>
        <w:rPr>
          <w:sz w:val="20"/>
          <w:szCs w:val="20"/>
        </w:rPr>
        <w:t xml:space="preserve">. . .  </w:t>
      </w:r>
      <w:r w:rsidRPr="008444EF">
        <w:rPr>
          <w:sz w:val="20"/>
          <w:szCs w:val="20"/>
        </w:rPr>
        <w:t>Here, once the property was recovered by the police, it was stored in a safe facility, preventing vandalism. The defendant benefited from the storage of its property.</w:t>
      </w:r>
    </w:p>
    <w:p w:rsidR="00032A5B" w:rsidRPr="008444EF" w:rsidRDefault="00032A5B" w:rsidP="00032A5B">
      <w:pPr>
        <w:pStyle w:val="loose"/>
        <w:ind w:left="154" w:right="154"/>
        <w:rPr>
          <w:sz w:val="20"/>
          <w:szCs w:val="20"/>
        </w:rPr>
      </w:pPr>
      <w:r w:rsidRPr="008444EF">
        <w:rPr>
          <w:sz w:val="20"/>
          <w:szCs w:val="20"/>
        </w:rPr>
        <w:lastRenderedPageBreak/>
        <w:t xml:space="preserve">The defendant's argument that an owner of a vehicle, stored in the circumstances of the present case, does not incur storage costs until receipt of notice of the vehicle's location is not sound. The benefit to the owner starts from the </w:t>
      </w:r>
      <w:bookmarkStart w:id="12" w:name="PAGE_199_3213"/>
      <w:bookmarkEnd w:id="12"/>
      <w:r w:rsidRPr="008444EF">
        <w:rPr>
          <w:sz w:val="20"/>
          <w:szCs w:val="20"/>
        </w:rPr>
        <w:t>first day of storage. There is nothing in case or statutory law that supports the</w:t>
      </w:r>
      <w:bookmarkStart w:id="13" w:name="PAGE_8_7211"/>
      <w:bookmarkEnd w:id="13"/>
      <w:r w:rsidRPr="008444EF">
        <w:rPr>
          <w:sz w:val="20"/>
          <w:szCs w:val="20"/>
        </w:rPr>
        <w:t xml:space="preserve"> defendant's position.</w:t>
      </w:r>
      <w:r>
        <w:rPr>
          <w:sz w:val="20"/>
          <w:szCs w:val="20"/>
        </w:rPr>
        <w:t xml:space="preserve"> . . .</w:t>
      </w:r>
    </w:p>
    <w:p w:rsidR="00032A5B" w:rsidRPr="008444EF" w:rsidRDefault="00032A5B" w:rsidP="00032A5B">
      <w:pPr>
        <w:pStyle w:val="loose"/>
        <w:ind w:left="154" w:right="154"/>
        <w:rPr>
          <w:sz w:val="20"/>
          <w:szCs w:val="20"/>
        </w:rPr>
      </w:pPr>
      <w:bookmarkStart w:id="14" w:name="PAGE_1271_4912"/>
      <w:bookmarkEnd w:id="14"/>
      <w:r w:rsidRPr="008444EF">
        <w:rPr>
          <w:sz w:val="20"/>
          <w:szCs w:val="20"/>
        </w:rPr>
        <w:t xml:space="preserve">In these circumstances, the amount of the plaintiff's recovery, however, is limited to the fair market value of the stored item. </w:t>
      </w:r>
      <w:r>
        <w:rPr>
          <w:sz w:val="20"/>
          <w:szCs w:val="20"/>
        </w:rPr>
        <w:t xml:space="preserve">. . .   </w:t>
      </w:r>
      <w:r w:rsidRPr="008444EF">
        <w:rPr>
          <w:sz w:val="20"/>
          <w:szCs w:val="20"/>
        </w:rPr>
        <w:t>If the plaintiff were allowed to recover more than the fair value of the trailer, then he would then have more than the benefit conferred on the defendant.</w:t>
      </w:r>
    </w:p>
    <w:p w:rsidR="00032A5B" w:rsidRPr="008444EF" w:rsidRDefault="00032A5B" w:rsidP="00032A5B">
      <w:pPr>
        <w:pStyle w:val="loose"/>
        <w:ind w:left="154" w:right="154"/>
        <w:rPr>
          <w:sz w:val="20"/>
          <w:szCs w:val="20"/>
        </w:rPr>
      </w:pPr>
      <w:r w:rsidRPr="008444EF">
        <w:rPr>
          <w:rStyle w:val="italic"/>
          <w:sz w:val="20"/>
          <w:szCs w:val="20"/>
        </w:rPr>
        <w:t>Judgment affirmed</w:t>
      </w:r>
      <w:r w:rsidRPr="008444EF">
        <w:rPr>
          <w:sz w:val="20"/>
          <w:szCs w:val="20"/>
        </w:rPr>
        <w:t>.</w:t>
      </w:r>
    </w:p>
    <w:p w:rsidR="00032A5B" w:rsidRDefault="00032A5B" w:rsidP="00032A5B">
      <w:pPr>
        <w:ind w:left="300" w:right="300"/>
        <w:jc w:val="center"/>
      </w:pPr>
      <w:r>
        <w:br w:type="page"/>
      </w:r>
      <w:r>
        <w:lastRenderedPageBreak/>
        <w:t>W. O. LUCY AND J. C. LUCY v. A. H. ZEHMER AND IDA S. ZEHMER</w:t>
      </w:r>
    </w:p>
    <w:p w:rsidR="00032A5B" w:rsidRDefault="00032A5B" w:rsidP="00032A5B">
      <w:pPr>
        <w:ind w:left="300" w:right="300"/>
        <w:jc w:val="center"/>
      </w:pPr>
    </w:p>
    <w:p w:rsidR="00032A5B" w:rsidRDefault="00032A5B" w:rsidP="00032A5B">
      <w:pPr>
        <w:ind w:left="300" w:right="300"/>
        <w:jc w:val="center"/>
      </w:pPr>
      <w:r>
        <w:t xml:space="preserve">Supreme Court of </w:t>
      </w:r>
      <w:smartTag w:uri="urn:schemas-microsoft-com:office:smarttags" w:element="place">
        <w:smartTag w:uri="urn:schemas-microsoft-com:office:smarttags" w:element="State">
          <w:r>
            <w:t>Virginia</w:t>
          </w:r>
        </w:smartTag>
      </w:smartTag>
    </w:p>
    <w:p w:rsidR="00032A5B" w:rsidRDefault="00032A5B" w:rsidP="00032A5B">
      <w:pPr>
        <w:ind w:left="300" w:right="300"/>
        <w:jc w:val="center"/>
      </w:pPr>
    </w:p>
    <w:p w:rsidR="00032A5B" w:rsidRDefault="00032A5B" w:rsidP="00032A5B">
      <w:pPr>
        <w:ind w:left="300" w:right="300"/>
        <w:jc w:val="center"/>
      </w:pPr>
      <w:r>
        <w:t xml:space="preserve">196 </w:t>
      </w:r>
      <w:smartTag w:uri="urn:schemas-microsoft-com:office:smarttags" w:element="place">
        <w:smartTag w:uri="urn:schemas-microsoft-com:office:smarttags" w:element="State">
          <w:r>
            <w:t>Va.</w:t>
          </w:r>
        </w:smartTag>
      </w:smartTag>
      <w:r>
        <w:t xml:space="preserve"> 493; 84 S.E.2d 516</w:t>
      </w:r>
    </w:p>
    <w:p w:rsidR="00032A5B" w:rsidRDefault="00032A5B" w:rsidP="00032A5B">
      <w:pPr>
        <w:ind w:left="300" w:right="300"/>
        <w:jc w:val="center"/>
      </w:pPr>
    </w:p>
    <w:p w:rsidR="00032A5B" w:rsidRDefault="00032A5B" w:rsidP="00032A5B">
      <w:pPr>
        <w:ind w:left="300" w:right="300"/>
        <w:jc w:val="center"/>
      </w:pPr>
      <w:smartTag w:uri="urn:schemas-microsoft-com:office:smarttags" w:element="date">
        <w:smartTagPr>
          <w:attr w:name="Month" w:val="11"/>
          <w:attr w:name="Day" w:val="22"/>
          <w:attr w:name="Year" w:val="1954"/>
        </w:smartTagPr>
        <w:smartTag w:uri="urn:schemas-microsoft-com:office:smarttags" w:element="date">
          <w:smartTagPr>
            <w:attr w:name="Year" w:val="19"/>
            <w:attr w:name="Day" w:val="22"/>
            <w:attr w:name="Month" w:val="11"/>
            <w:attr w:name="ls" w:val="trans"/>
          </w:smartTagPr>
          <w:r>
            <w:t>November 22, 19</w:t>
          </w:r>
        </w:smartTag>
        <w:r>
          <w:t>54</w:t>
        </w:r>
      </w:smartTag>
    </w:p>
    <w:p w:rsidR="00032A5B" w:rsidRDefault="00032A5B" w:rsidP="00032A5B">
      <w:pPr>
        <w:ind w:left="300" w:right="300"/>
        <w:jc w:val="both"/>
      </w:pPr>
    </w:p>
    <w:p w:rsidR="00032A5B" w:rsidRDefault="00032A5B" w:rsidP="00032A5B">
      <w:pPr>
        <w:ind w:left="300" w:right="300"/>
        <w:jc w:val="both"/>
      </w:pPr>
    </w:p>
    <w:p w:rsidR="00032A5B" w:rsidRDefault="00032A5B" w:rsidP="00032A5B">
      <w:pPr>
        <w:jc w:val="both"/>
      </w:pPr>
    </w:p>
    <w:p w:rsidR="00032A5B" w:rsidRDefault="00032A5B" w:rsidP="00032A5B">
      <w:pPr>
        <w:jc w:val="both"/>
      </w:pPr>
      <w:r>
        <w:t xml:space="preserve">JUDGES:   Present, Eggleston, Buchanan, Miller, Smith and Whittle, JJ.  </w:t>
      </w:r>
    </w:p>
    <w:p w:rsidR="00032A5B" w:rsidRDefault="00032A5B" w:rsidP="00032A5B">
      <w:pPr>
        <w:jc w:val="both"/>
      </w:pPr>
    </w:p>
    <w:p w:rsidR="00032A5B" w:rsidRDefault="00032A5B" w:rsidP="00032A5B">
      <w:pPr>
        <w:jc w:val="both"/>
      </w:pPr>
      <w:r>
        <w:t>BUCHANAN, J., delivered the opinion of the court.</w:t>
      </w:r>
    </w:p>
    <w:p w:rsidR="00032A5B" w:rsidRDefault="00032A5B" w:rsidP="00032A5B">
      <w:pPr>
        <w:jc w:val="both"/>
      </w:pPr>
    </w:p>
    <w:p w:rsidR="00032A5B" w:rsidRDefault="00032A5B" w:rsidP="00032A5B">
      <w:pPr>
        <w:jc w:val="both"/>
      </w:pPr>
      <w:r>
        <w:t>This suit was instituted by W. O. Lucy and J. C. Lucy, complainants, against A. H. Zehmer and Ida S. Zehmer, his wife, defendants, to have specific performance of a contract by which it was alleged the Zehmers had sold to W. O. Lucy a tract of land owned by A. H. Zehmer in Dinwiddie county containing 471.6 acres, known as the Ferguson farm, for $50,000. J. C. Lucy, the other complainant, is a brother of W. O. Lucy, to whom W. O. Lucy transferred a half interest in his alleged purchase.</w:t>
      </w:r>
    </w:p>
    <w:p w:rsidR="00032A5B" w:rsidRDefault="00032A5B" w:rsidP="00032A5B">
      <w:pPr>
        <w:jc w:val="both"/>
      </w:pPr>
    </w:p>
    <w:p w:rsidR="00032A5B" w:rsidRDefault="00032A5B" w:rsidP="00032A5B">
      <w:pPr>
        <w:jc w:val="both"/>
      </w:pPr>
      <w:r>
        <w:t xml:space="preserve">The instrument sought to be enforced was written by A. H. Zehmer on </w:t>
      </w:r>
      <w:smartTag w:uri="urn:schemas-microsoft-com:office:smarttags" w:element="date">
        <w:smartTagPr>
          <w:attr w:name="Year" w:val="19"/>
          <w:attr w:name="Day" w:val="20"/>
          <w:attr w:name="Month" w:val="12"/>
          <w:attr w:name="ls" w:val="trans"/>
        </w:smartTagPr>
        <w:r>
          <w:t>December 20, 19</w:t>
        </w:r>
      </w:smartTag>
      <w:r>
        <w:t>52, in these words: "We hereby agree to sell to W. O. Lucy the Ferguson Farm complete for $50,000.00, title satisfactory to buyer," and signed by the defendants, A. H. Zehmer and Ida S. Zehmer. . . .</w:t>
      </w:r>
    </w:p>
    <w:p w:rsidR="00032A5B" w:rsidRDefault="00032A5B" w:rsidP="00032A5B">
      <w:pPr>
        <w:jc w:val="both"/>
      </w:pPr>
    </w:p>
    <w:p w:rsidR="00032A5B" w:rsidRDefault="00032A5B" w:rsidP="00032A5B">
      <w:pPr>
        <w:jc w:val="both"/>
      </w:pPr>
      <w:r>
        <w:t>Depositions were taken and the decree appealed from was entered holding that the complainants had failed to establish their right to specific performance, and dismissing their bill.  The assignment of error is to this action. . . . .</w:t>
      </w:r>
    </w:p>
    <w:p w:rsidR="00032A5B" w:rsidRDefault="00032A5B" w:rsidP="00032A5B">
      <w:pPr>
        <w:jc w:val="both"/>
      </w:pPr>
    </w:p>
    <w:p w:rsidR="00032A5B" w:rsidRDefault="00032A5B" w:rsidP="00032A5B">
      <w:pPr>
        <w:jc w:val="both"/>
      </w:pPr>
      <w:r>
        <w:t xml:space="preserve">W. O. Lucy, a lumberman and farmer, thus testified in substance: He had known Zehmer for fifteen or twenty years and had been familiar with the </w:t>
      </w:r>
      <w:smartTag w:uri="urn:schemas-microsoft-com:office:smarttags" w:element="place">
        <w:smartTag w:uri="urn:schemas-microsoft-com:office:smarttags" w:element="City">
          <w:r>
            <w:t>Ferguson</w:t>
          </w:r>
        </w:smartTag>
      </w:smartTag>
      <w:r>
        <w:t xml:space="preserve"> farm for ten years.  Seven or eight years ago he had offered Zehmer $20,000 for the farm which Zehmer had accepted, but the agreement was verbal and Zehmer backed out.  On the night of </w:t>
      </w:r>
      <w:smartTag w:uri="urn:schemas-microsoft-com:office:smarttags" w:element="date">
        <w:smartTagPr>
          <w:attr w:name="Month" w:val="12"/>
          <w:attr w:name="Day" w:val="20"/>
          <w:attr w:name="Year" w:val="1952"/>
        </w:smartTagPr>
        <w:smartTag w:uri="urn:schemas-microsoft-com:office:smarttags" w:element="date">
          <w:smartTagPr>
            <w:attr w:name="Year" w:val="19"/>
            <w:attr w:name="Day" w:val="20"/>
            <w:attr w:name="Month" w:val="12"/>
            <w:attr w:name="ls" w:val="trans"/>
          </w:smartTagPr>
          <w:r>
            <w:t>December 20, 19</w:t>
          </w:r>
        </w:smartTag>
        <w:r>
          <w:t>52</w:t>
        </w:r>
      </w:smartTag>
      <w:r>
        <w:t xml:space="preserve">, around </w:t>
      </w:r>
      <w:smartTag w:uri="urn:schemas-microsoft-com:office:smarttags" w:element="time">
        <w:smartTagPr>
          <w:attr w:name="Hour" w:val="8"/>
          <w:attr w:name="Minute" w:val="0"/>
        </w:smartTagPr>
        <w:r>
          <w:t>eight o'clock</w:t>
        </w:r>
      </w:smartTag>
      <w:r>
        <w:t xml:space="preserve">, he took an employee to McKenney, where Zehmer lived and operated a restaurant, filling station and motor court.  While there he decided to see Zehmer and again try to buy the </w:t>
      </w:r>
      <w:smartTag w:uri="urn:schemas-microsoft-com:office:smarttags" w:element="place">
        <w:smartTag w:uri="urn:schemas-microsoft-com:office:smarttags" w:element="City">
          <w:r>
            <w:t>Ferguson</w:t>
          </w:r>
        </w:smartTag>
      </w:smartTag>
      <w:r>
        <w:t xml:space="preserve"> farm. He entered the restaurant and talked to Mrs. Zehmer until Zehmer came in. He asked Zehmer if he had sold the </w:t>
      </w:r>
      <w:smartTag w:uri="urn:schemas-microsoft-com:office:smarttags" w:element="place">
        <w:smartTag w:uri="urn:schemas-microsoft-com:office:smarttags" w:element="City">
          <w:r>
            <w:t>Ferguson</w:t>
          </w:r>
        </w:smartTag>
      </w:smartTag>
      <w:r>
        <w:t xml:space="preserve"> farm. Zehmer replied that he had not.  Lucy said, "I bet you wouldn't take $50,000.00 for that place." Zehmer replied, "Yes, I would too; you wouldn't give fifty." Lucy said he would and told Zehmer to write up an agreement to that  effect.  Zehmer took a restaurant check and wrote on the back of it, "I do hereby agree to sell to W. O. Lucy the Ferguson Farm for $50,000 complete." Lucy told him he had better change it to "We" because Mrs. Zehmer would have to sign it too.  Zehmer then tore up what he had written, wrote the agreement quoted above and asked Mrs. Zehmer, who was at the other end of the counter ten or twelve feet away, to sign it.  Mrs. Zehmer said she would for $50,000 and signed it.  Zehmer brought it back and gave it to Lucy, who offered him $5 which Zehmer refused, saying, "You don't need to give me any money, you got the agreement there signed by both of us."</w:t>
      </w:r>
    </w:p>
    <w:p w:rsidR="00032A5B" w:rsidRDefault="00032A5B" w:rsidP="00032A5B">
      <w:pPr>
        <w:jc w:val="both"/>
      </w:pPr>
    </w:p>
    <w:p w:rsidR="00032A5B" w:rsidRDefault="00032A5B" w:rsidP="00032A5B">
      <w:pPr>
        <w:jc w:val="both"/>
      </w:pPr>
      <w:r>
        <w:t xml:space="preserve">The discussion leading to the signing of the agreement, said Lucy, lasted thirty or forty minutes, during which Zehmer seemed to doubt that Lucy could raise $50,000.  Lucy suggested the provision for having the title examined and Zehmer made the suggestion that he would sell it "complete, everything there," . . . . </w:t>
      </w:r>
    </w:p>
    <w:p w:rsidR="00032A5B" w:rsidRDefault="00032A5B" w:rsidP="00032A5B">
      <w:pPr>
        <w:jc w:val="both"/>
      </w:pPr>
    </w:p>
    <w:p w:rsidR="00032A5B" w:rsidRDefault="00032A5B" w:rsidP="00032A5B">
      <w:pPr>
        <w:jc w:val="both"/>
      </w:pPr>
      <w:r>
        <w:t xml:space="preserve">Lucy took a partly filled bottle of whiskey into the restaurant with him for the purpose of giving Zehmer a drink if he wanted it.  Zehmer did, and he and Lucy had one or two drinks together.  Lucy said that while he felt the drinks he took he was not intoxicated, and from the way Zehmer handled the transaction he did not think he was either.  </w:t>
      </w:r>
    </w:p>
    <w:p w:rsidR="00032A5B" w:rsidRDefault="00032A5B" w:rsidP="00032A5B">
      <w:pPr>
        <w:jc w:val="both"/>
      </w:pPr>
    </w:p>
    <w:p w:rsidR="00032A5B" w:rsidRDefault="00032A5B" w:rsidP="00032A5B">
      <w:pPr>
        <w:jc w:val="both"/>
      </w:pPr>
      <w:r>
        <w:t>December 20 was on Saturday.  Next day Lucy telephoned to J. C. Lucy and arranged with the latter to take a half interest in the purchase and pay half of the consideration.  On Monday he engaged an attorney to examine the title.  The attorney reported favorably on December 31 and on January 2 Lucy wrote Zehmer stating that the title was satisfactory, that he was ready to pay the purchase price in cash and asking when Zehmer would be ready to close the deal. Zehmer replied by letter, mailed on January 13, asserting that he had never agreed or intended to sell.</w:t>
      </w:r>
    </w:p>
    <w:p w:rsidR="00032A5B" w:rsidRDefault="00032A5B" w:rsidP="00032A5B">
      <w:pPr>
        <w:jc w:val="both"/>
      </w:pPr>
    </w:p>
    <w:p w:rsidR="00032A5B" w:rsidRDefault="00032A5B" w:rsidP="00032A5B">
      <w:pPr>
        <w:jc w:val="both"/>
      </w:pPr>
      <w:r>
        <w:t xml:space="preserve">Mr. and Mrs. Zehmer were called by the complainants as adverse witnesses. Zehmer testified in substance as follows:  </w:t>
      </w:r>
    </w:p>
    <w:p w:rsidR="00032A5B" w:rsidRDefault="00032A5B" w:rsidP="00032A5B">
      <w:pPr>
        <w:jc w:val="both"/>
      </w:pPr>
    </w:p>
    <w:p w:rsidR="00032A5B" w:rsidRDefault="00032A5B" w:rsidP="00032A5B">
      <w:pPr>
        <w:jc w:val="both"/>
      </w:pPr>
      <w:r>
        <w:t xml:space="preserve">He bought this farm more than ten years ago for $11,000.  He had had twenty-five offers, more or less, to buy it, including several from Lucy, who had never offered any specific sum of money.  He had given them all the same answer, that he was not interested in selling it.  On this Saturday night before Christmas it looked like everybody and his brother came by there to have a drink.  He took a good many drinks during the afternoon and had a pint of his own.  When he entered the restaurant around eight-thirty Lucy was there and he could see that he was "pretty high." He said to Lucy, "Boy, you got some good liquor, drinking, ain't you?" Lucy then offered him a drink.  "I was already high as a </w:t>
      </w:r>
      <w:smartTag w:uri="urn:schemas-microsoft-com:office:smarttags" w:element="place">
        <w:smartTag w:uri="urn:schemas-microsoft-com:office:smarttags" w:element="country-region">
          <w:r>
            <w:t>Georgia</w:t>
          </w:r>
        </w:smartTag>
      </w:smartTag>
      <w:r>
        <w:t xml:space="preserve"> pine, and didn't have any more better sense than to pour another great big slug out and gulp it down, and he took one too."</w:t>
      </w:r>
    </w:p>
    <w:p w:rsidR="00032A5B" w:rsidRDefault="00032A5B" w:rsidP="00032A5B">
      <w:pPr>
        <w:jc w:val="both"/>
      </w:pPr>
    </w:p>
    <w:p w:rsidR="00032A5B" w:rsidRDefault="00032A5B" w:rsidP="00032A5B">
      <w:pPr>
        <w:jc w:val="both"/>
      </w:pPr>
      <w:r>
        <w:t xml:space="preserve">After they had talked a while Lucy asked whether he still had the </w:t>
      </w:r>
      <w:smartTag w:uri="urn:schemas-microsoft-com:office:smarttags" w:element="place">
        <w:smartTag w:uri="urn:schemas-microsoft-com:office:smarttags" w:element="City">
          <w:r>
            <w:t>Ferguson</w:t>
          </w:r>
        </w:smartTag>
      </w:smartTag>
      <w:r>
        <w:t xml:space="preserve"> farm. He replied that he had not sold it and Lucy said, "I bet you wouldn't take $50,000.00 for it." Zehmer asked him if he would give $50,000 and Lucy said yes.  Zehmer replied, "You haven't got $50,000 in cash." Lucy said he did and Zehmer replied that he did not believe it.  They argued "pro and con for a long time," mainly about "whether he had $50,000 in cash that he could put up right then and buy that farm."  </w:t>
      </w:r>
    </w:p>
    <w:p w:rsidR="00032A5B" w:rsidRDefault="00032A5B" w:rsidP="00032A5B">
      <w:pPr>
        <w:jc w:val="both"/>
      </w:pPr>
    </w:p>
    <w:p w:rsidR="00032A5B" w:rsidRDefault="00032A5B" w:rsidP="00032A5B">
      <w:pPr>
        <w:jc w:val="both"/>
      </w:pPr>
      <w:r>
        <w:t xml:space="preserve">Finally, said Zehmer, Lucy told him if he didn't believe he had $50,000, "you sign that piece of paper here and say you will take $50,000.00 for the farm." He, Zehmer, "just grabbed the back off of a guest check there" and wrote on the back of it.  At that point in his testimony Zehmer asked to see what he had written to "see if I recognize my own handwriting." He examined the paper and exclaimed, "Great balls of fire, I got 'Firgerson' for </w:t>
      </w:r>
      <w:smartTag w:uri="urn:schemas-microsoft-com:office:smarttags" w:element="place">
        <w:smartTag w:uri="urn:schemas-microsoft-com:office:smarttags" w:element="City">
          <w:r>
            <w:t>Ferguson</w:t>
          </w:r>
        </w:smartTag>
      </w:smartTag>
      <w:r>
        <w:t xml:space="preserve">.  I have got satisfactory spelled wrong.  I don't recognize that writing if I would see it, wouldn't know it was mine."  </w:t>
      </w:r>
    </w:p>
    <w:p w:rsidR="00032A5B" w:rsidRDefault="00032A5B" w:rsidP="00032A5B">
      <w:pPr>
        <w:jc w:val="both"/>
      </w:pPr>
    </w:p>
    <w:p w:rsidR="00032A5B" w:rsidRDefault="00032A5B" w:rsidP="00032A5B">
      <w:pPr>
        <w:jc w:val="both"/>
      </w:pPr>
      <w:r>
        <w:t>After Zehmer had, as he described it, "scribbled this thing off," Lucy said, "Get your wife to sign it." Zehmer walked over to where she was and she at first refused to sign but did so after he told her that he "was just needling him [Lucy], and didn't mean a thing in the world, that I was not selling the farm." Zehmer then "took it back over there and I was still looking at the dern thing.  I had the drink right there by my hand, and I reached over to get a drink, and he said, 'Let me see it.' He reached and picked it up, and when I looked back again he had it in his pocket and he dropped a five dollar bill over there, and he said, 'Here is five dollars payment on it.'  I said, 'Hell no, that is beer and liquor talking.  I am not going to sell you the farm. I have told you that too many times before.'". . . .</w:t>
      </w:r>
    </w:p>
    <w:p w:rsidR="00032A5B" w:rsidRDefault="00032A5B" w:rsidP="00032A5B">
      <w:pPr>
        <w:jc w:val="both"/>
      </w:pPr>
    </w:p>
    <w:p w:rsidR="00032A5B" w:rsidRDefault="00032A5B" w:rsidP="00032A5B">
      <w:pPr>
        <w:jc w:val="both"/>
      </w:pPr>
      <w:r>
        <w:t xml:space="preserve">The defendants insist that the evidence was ample to support their contention that the writing sought to be enforced was prepared as a bluff or dare to force Lucy to admit that he did not have $50,000; that the whole matter was a joke; that the writing was not delivered to Lucy and no binding contract was ever made between the parties.  </w:t>
      </w:r>
    </w:p>
    <w:p w:rsidR="00032A5B" w:rsidRDefault="00032A5B" w:rsidP="00032A5B">
      <w:pPr>
        <w:jc w:val="both"/>
      </w:pPr>
    </w:p>
    <w:p w:rsidR="00032A5B" w:rsidRDefault="00032A5B" w:rsidP="00032A5B">
      <w:pPr>
        <w:jc w:val="both"/>
      </w:pPr>
      <w:r>
        <w:t xml:space="preserve">It is an unusual, if not bizarre, defense.  When made to the writing admittedly prepared by one of the defendants and signed by both, clear evidence is required to sustain it.  </w:t>
      </w:r>
    </w:p>
    <w:p w:rsidR="00032A5B" w:rsidRDefault="00032A5B" w:rsidP="00032A5B">
      <w:pPr>
        <w:jc w:val="both"/>
      </w:pPr>
    </w:p>
    <w:p w:rsidR="00032A5B" w:rsidRDefault="00032A5B" w:rsidP="00032A5B">
      <w:pPr>
        <w:jc w:val="both"/>
      </w:pPr>
      <w:r>
        <w:t xml:space="preserve">[1] In his testimony Zehmer claimed that he "was high as a </w:t>
      </w:r>
      <w:smartTag w:uri="urn:schemas-microsoft-com:office:smarttags" w:element="place">
        <w:smartTag w:uri="urn:schemas-microsoft-com:office:smarttags" w:element="country-region">
          <w:r>
            <w:t>Georgia</w:t>
          </w:r>
        </w:smartTag>
      </w:smartTag>
      <w:r>
        <w:t xml:space="preserve"> pine," and that the transaction "was just a bunch of two doggoned drunks bluffing to see who could talk the biggest and say the most." That claim is inconsistent with his attempt to testify in great detail as to what was said and what was done. . . . The record is convincing that Zehmer was not intoxicated to the extent of being unable to comprehend the nature and consequences of the instrument he executed, and hence that instrument is not to be invalidated on that ground. . . . .</w:t>
      </w:r>
    </w:p>
    <w:p w:rsidR="00032A5B" w:rsidRDefault="00032A5B" w:rsidP="00032A5B">
      <w:pPr>
        <w:jc w:val="both"/>
      </w:pPr>
    </w:p>
    <w:p w:rsidR="00032A5B" w:rsidRDefault="00032A5B" w:rsidP="00032A5B">
      <w:pPr>
        <w:jc w:val="both"/>
      </w:pPr>
      <w:r>
        <w:t>[2] The appearance of the contract, the fact that it was under discussion for forty minutes or more before it was signed; Lucy's objection to the first draft because it was written in the singular, and he wanted Mrs. Zehmer to sign it also; the rewriting to meet that objection and the signing by Mrs. Zehmer; the discussion of what was to be included in the sale, the provision for the examination of the title, the completeness of the instrument that was executed, the taking possession of it by Lucy with no request or suggestion by either of the defendants that he give it back, are facts which furnish persuasive evidence that the execution of the contract was a serious business transaction rather than a casual, jesting matter as defendants now contend.</w:t>
      </w:r>
    </w:p>
    <w:p w:rsidR="00032A5B" w:rsidRDefault="00032A5B" w:rsidP="00032A5B">
      <w:pPr>
        <w:jc w:val="both"/>
      </w:pPr>
    </w:p>
    <w:p w:rsidR="00032A5B" w:rsidRDefault="00032A5B" w:rsidP="00032A5B">
      <w:pPr>
        <w:jc w:val="both"/>
      </w:pPr>
      <w:r>
        <w:t xml:space="preserve">. . . . Zehmer's version was that he said to Lucy: "I am not trying to claim it wasn't a deal on account of the fact the price was too low. If I had wanted to sell $50,000.00 would be a good price, in fact I think you would get stuck at $50,000.00." A disinterested witness testified that what Zehmer said to Lucy was that "he was going to let him up off the deal, because he thought he was too tight, didn't know what he was doing.  Lucy said something to the effect that 'I have been stuck before and I will go through with it.'"  </w:t>
      </w:r>
    </w:p>
    <w:p w:rsidR="00032A5B" w:rsidRDefault="00032A5B" w:rsidP="00032A5B">
      <w:pPr>
        <w:jc w:val="both"/>
      </w:pPr>
    </w:p>
    <w:p w:rsidR="00032A5B" w:rsidRDefault="00032A5B" w:rsidP="00032A5B">
      <w:pPr>
        <w:jc w:val="both"/>
      </w:pPr>
      <w:r>
        <w:t xml:space="preserve">[3] If it be assumed, contrary to what we think the evidence shows, that Zehmer was jesting about selling his farm to Lucy and that the transaction was intended by him to be a joke, nevertheless the evidence shows that Lucy did not so understand it </w:t>
      </w:r>
      <w:r>
        <w:lastRenderedPageBreak/>
        <w:t>but considered it to be a serious business transaction and the contract to be binding on the Zehmers as well as on himself. The very next day he arranged with his brother to put up half the money and take a half interest in the land. The day after that he employed an attorney to examine the title.  The next night, Tuesday, he was back at Zehmer's place and there Zehmer told him for the first time, Lucy said, that he wasn't going to sell and he told Zehmer, "You know you sold that place fair and square." After receiving the report from his attorney that the title was good he wrote to Zehmer that he was ready to close the deal.</w:t>
      </w:r>
    </w:p>
    <w:p w:rsidR="00032A5B" w:rsidRDefault="00032A5B" w:rsidP="00032A5B">
      <w:pPr>
        <w:jc w:val="both"/>
      </w:pPr>
    </w:p>
    <w:p w:rsidR="00032A5B" w:rsidRDefault="00032A5B" w:rsidP="00032A5B">
      <w:pPr>
        <w:jc w:val="both"/>
      </w:pPr>
      <w:r>
        <w:t xml:space="preserve">Not only did Lucy actually believe, but the evidence shows he was warranted in believing, that the contract represented a serious business transaction and a good faith sale and purchase of the farm.  </w:t>
      </w:r>
    </w:p>
    <w:p w:rsidR="00032A5B" w:rsidRDefault="00032A5B" w:rsidP="00032A5B">
      <w:pPr>
        <w:jc w:val="both"/>
      </w:pPr>
    </w:p>
    <w:p w:rsidR="00032A5B" w:rsidRDefault="00032A5B" w:rsidP="00032A5B">
      <w:pPr>
        <w:jc w:val="both"/>
      </w:pPr>
      <w:r>
        <w:t>In the field of contracts, as generally elsewhere, "We must look to the outward expression of a person as manifesting his intention rather than to his secret and unexpressed intention. The law imputes to a person an intention corresponding to the reasonable meaning of his words and acts.'" . . .  At no time prior to the execution of the contract had Zehmer indicated to Lucy by word or act that he was not in earnest about selling the farm. . . . .</w:t>
      </w:r>
    </w:p>
    <w:p w:rsidR="00032A5B" w:rsidRDefault="00032A5B" w:rsidP="00032A5B">
      <w:pPr>
        <w:jc w:val="both"/>
      </w:pPr>
    </w:p>
    <w:p w:rsidR="00032A5B" w:rsidRDefault="00032A5B" w:rsidP="00032A5B">
      <w:pPr>
        <w:jc w:val="both"/>
      </w:pPr>
      <w:r>
        <w:t>. . . An agreement or mutual assent is of course essential to a valid contract but the law imputes to a person an intention corresponding to the reasonable meaning of his words and acts.  If his words and acts, judged by a reasonable standard, manifest an intention to agree, it is immaterial what may be the real but unexpressed state of his mind. . . .  So a person cannot set up that he was merely jesting when his conduct and words would warrant a reasonable person in believing that he intended a real agreement. . . . .  Whether the writing signed by the defendants and now sought to be enforced by the complainants was the result of a serious offer by Lucy and a serious acceptance by the defendants, or was a serious offer by Lucy and an acceptance in secret jest by the defendants, in either event it constituted a binding contract of sale between the parties. . . .</w:t>
      </w:r>
    </w:p>
    <w:p w:rsidR="00032A5B" w:rsidRDefault="00032A5B" w:rsidP="00032A5B">
      <w:pPr>
        <w:jc w:val="both"/>
      </w:pPr>
    </w:p>
    <w:p w:rsidR="00032A5B" w:rsidRDefault="00032A5B" w:rsidP="00032A5B">
      <w:pPr>
        <w:jc w:val="both"/>
      </w:pPr>
      <w:r>
        <w:t xml:space="preserve">The complainants are entitled to have specific performance of the contracts sued on.  The decree appealed from is therefore reversed and the cause is remanded for the entry of a proper decree requiring the defendants to perform the contract in accordance with the prayer of the bill.  </w:t>
      </w:r>
    </w:p>
    <w:p w:rsidR="00032A5B" w:rsidRDefault="00032A5B" w:rsidP="00032A5B">
      <w:pPr>
        <w:jc w:val="both"/>
      </w:pPr>
    </w:p>
    <w:p w:rsidR="00032A5B" w:rsidRDefault="00032A5B" w:rsidP="00032A5B">
      <w:pPr>
        <w:ind w:right="300"/>
      </w:pPr>
      <w:r>
        <w:t>Reversed and remanded.</w:t>
      </w:r>
    </w:p>
    <w:p w:rsidR="00032A5B" w:rsidRDefault="00032A5B" w:rsidP="00032A5B">
      <w:r>
        <w:br w:type="page"/>
      </w:r>
    </w:p>
    <w:p w:rsidR="00032A5B" w:rsidRPr="00EE0FD8" w:rsidRDefault="00032A5B" w:rsidP="00032A5B">
      <w:pPr>
        <w:jc w:val="center"/>
      </w:pPr>
      <w:r w:rsidRPr="00EE0FD8">
        <w:lastRenderedPageBreak/>
        <w:t xml:space="preserve">The City of </w:t>
      </w:r>
      <w:smartTag w:uri="urn:schemas-microsoft-com:office:smarttags" w:element="place">
        <w:smartTag w:uri="urn:schemas-microsoft-com:office:smarttags" w:element="City">
          <w:r w:rsidRPr="00EE0FD8">
            <w:t>Everett</w:t>
          </w:r>
        </w:smartTag>
      </w:smartTag>
      <w:r w:rsidRPr="00EE0FD8">
        <w:t>, Plaintiff, v. Al Mitchell, Petitioner</w:t>
      </w:r>
    </w:p>
    <w:p w:rsidR="00032A5B" w:rsidRPr="00EE0FD8" w:rsidRDefault="00032A5B" w:rsidP="00032A5B">
      <w:pPr>
        <w:jc w:val="center"/>
      </w:pPr>
      <w:r w:rsidRPr="00EE0FD8">
        <w:br/>
        <w:t xml:space="preserve">Supreme Court </w:t>
      </w:r>
      <w:r>
        <w:t>o</w:t>
      </w:r>
      <w:r w:rsidRPr="00EE0FD8">
        <w:t xml:space="preserve">f </w:t>
      </w:r>
      <w:smartTag w:uri="urn:schemas-microsoft-com:office:smarttags" w:element="place">
        <w:smartTag w:uri="urn:schemas-microsoft-com:office:smarttags" w:element="State">
          <w:r w:rsidRPr="00EE0FD8">
            <w:t>Washington</w:t>
          </w:r>
        </w:smartTag>
      </w:smartTag>
      <w:r w:rsidRPr="00EE0FD8">
        <w:t xml:space="preserve"> </w:t>
      </w:r>
    </w:p>
    <w:p w:rsidR="00032A5B" w:rsidRPr="00EE0FD8" w:rsidRDefault="00032A5B" w:rsidP="00032A5B">
      <w:pPr>
        <w:jc w:val="center"/>
      </w:pPr>
      <w:r w:rsidRPr="00EE0FD8">
        <w:br/>
      </w:r>
      <w:r w:rsidRPr="00EE0FD8">
        <w:rPr>
          <w:bCs/>
        </w:rPr>
        <w:t>631 P.2d 366</w:t>
      </w:r>
      <w:r w:rsidRPr="00EE0FD8">
        <w:br/>
        <w:t> </w:t>
      </w:r>
      <w:r w:rsidRPr="00EE0FD8">
        <w:br/>
      </w:r>
      <w:smartTag w:uri="urn:schemas-microsoft-com:office:smarttags" w:element="date">
        <w:smartTagPr>
          <w:attr w:name="Month" w:val="7"/>
          <w:attr w:name="Day" w:val="23"/>
          <w:attr w:name="Year" w:val="1981"/>
        </w:smartTagPr>
        <w:r w:rsidRPr="00EE0FD8">
          <w:t>July 23, 1981</w:t>
        </w:r>
      </w:smartTag>
    </w:p>
    <w:p w:rsidR="00032A5B" w:rsidRPr="00EE0FD8" w:rsidRDefault="00032A5B" w:rsidP="00032A5B">
      <w:r w:rsidRPr="00EE0FD8">
        <w:br/>
      </w:r>
    </w:p>
    <w:p w:rsidR="00032A5B" w:rsidRDefault="00032A5B" w:rsidP="00032A5B">
      <w:r w:rsidRPr="00EE0FD8">
        <w:rPr>
          <w:bCs/>
        </w:rPr>
        <w:t>JUDGES:</w:t>
      </w:r>
      <w:r w:rsidRPr="00EE0FD8">
        <w:t xml:space="preserve">  En Banc. Dolliver, J. Brachtenbach, C.J., Rosellini, </w:t>
      </w:r>
      <w:smartTag w:uri="urn:schemas-microsoft-com:office:smarttags" w:element="place">
        <w:r w:rsidRPr="00EE0FD8">
          <w:t>Stafford</w:t>
        </w:r>
      </w:smartTag>
      <w:r w:rsidRPr="00EE0FD8">
        <w:t>, Utter, Hicks, Williams, and Dimmick, JJ., and Cochran, J. Pro Tem., concur. Dore, J., did not participate in the disposition of this case.</w:t>
      </w:r>
      <w:r w:rsidRPr="00EE0FD8">
        <w:br/>
      </w:r>
      <w:r w:rsidRPr="00EE0FD8">
        <w:br/>
      </w:r>
      <w:r w:rsidRPr="00EE0FD8">
        <w:rPr>
          <w:bCs/>
        </w:rPr>
        <w:t>OPINION</w:t>
      </w:r>
      <w:r w:rsidRPr="00EE0FD8">
        <w:rPr>
          <w:b/>
          <w:bCs/>
        </w:rPr>
        <w:t>:</w:t>
      </w:r>
      <w:r w:rsidRPr="00EE0FD8">
        <w:t xml:space="preserve">  </w:t>
      </w:r>
    </w:p>
    <w:p w:rsidR="00032A5B" w:rsidRDefault="00032A5B" w:rsidP="00032A5B"/>
    <w:p w:rsidR="00032A5B" w:rsidRPr="00EE0FD8" w:rsidRDefault="00032A5B" w:rsidP="00032A5B">
      <w:r w:rsidRPr="00EE0FD8">
        <w:t xml:space="preserve">The City of </w:t>
      </w:r>
      <w:smartTag w:uri="urn:schemas-microsoft-com:office:smarttags" w:element="place">
        <w:smartTag w:uri="urn:schemas-microsoft-com:office:smarttags" w:element="City">
          <w:r w:rsidRPr="00EE0FD8">
            <w:t>Everett</w:t>
          </w:r>
        </w:smartTag>
      </w:smartTag>
      <w:r w:rsidRPr="00EE0FD8">
        <w:t xml:space="preserve"> commenced an interpleader action against the seller (the Sumstad Estate) and the buyer (Al and Rosemary Mitchell) of a safe to determine who is entitled to a sum of money found in the safe. Both the Estate and the Mitchells moved for summary judgment. </w:t>
      </w:r>
      <w:r>
        <w:t xml:space="preserve"> [Note: </w:t>
      </w:r>
      <w:r w:rsidRPr="00190142">
        <w:rPr>
          <w:bCs/>
          <w:color w:val="000000" w:themeColor="text1"/>
          <w:lang w:val="en"/>
        </w:rPr>
        <w:t>Interpleader</w:t>
      </w:r>
      <w:r w:rsidRPr="00190142">
        <w:rPr>
          <w:color w:val="000000" w:themeColor="text1"/>
          <w:lang w:val="en"/>
        </w:rPr>
        <w:t xml:space="preserve"> is </w:t>
      </w:r>
      <w:r>
        <w:rPr>
          <w:color w:val="000000" w:themeColor="text1"/>
          <w:lang w:val="en"/>
        </w:rPr>
        <w:t xml:space="preserve">a </w:t>
      </w:r>
      <w:r w:rsidRPr="00190142">
        <w:rPr>
          <w:color w:val="000000" w:themeColor="text1"/>
          <w:lang w:val="en"/>
        </w:rPr>
        <w:t xml:space="preserve">civil </w:t>
      </w:r>
      <w:r>
        <w:rPr>
          <w:color w:val="000000" w:themeColor="text1"/>
          <w:lang w:val="en"/>
        </w:rPr>
        <w:t xml:space="preserve">action initiated by a </w:t>
      </w:r>
      <w:r w:rsidRPr="00190142">
        <w:rPr>
          <w:color w:val="000000" w:themeColor="text1"/>
          <w:lang w:val="en"/>
        </w:rPr>
        <w:t>plaintiff</w:t>
      </w:r>
      <w:r>
        <w:rPr>
          <w:color w:val="000000" w:themeColor="text1"/>
          <w:lang w:val="en"/>
        </w:rPr>
        <w:t xml:space="preserve"> who holds property</w:t>
      </w:r>
      <w:r w:rsidRPr="00190142">
        <w:rPr>
          <w:color w:val="000000" w:themeColor="text1"/>
          <w:lang w:val="en"/>
        </w:rPr>
        <w:t xml:space="preserve"> but does not know </w:t>
      </w:r>
      <w:r w:rsidRPr="00190142">
        <w:rPr>
          <w:lang w:val="en"/>
        </w:rPr>
        <w:t>to whom the property should be transferred</w:t>
      </w:r>
      <w:r>
        <w:rPr>
          <w:lang w:val="en"/>
        </w:rPr>
        <w:t>; the plaintiff asks the court to decide.]</w:t>
      </w:r>
      <w:r w:rsidRPr="00190142">
        <w:rPr>
          <w:lang w:val="en"/>
        </w:rPr>
        <w:t xml:space="preserve"> </w:t>
      </w:r>
      <w:r>
        <w:t xml:space="preserve"> </w:t>
      </w:r>
      <w:r w:rsidRPr="00EE0FD8">
        <w:t>The trial court entered summary judgment in favor of the Estate. The Court of Appeals affirmed.</w:t>
      </w:r>
      <w:r w:rsidRPr="00EE0FD8">
        <w:br/>
      </w:r>
      <w:r w:rsidRPr="00EE0FD8">
        <w:br/>
        <w:t xml:space="preserve">Petitioners, Mr. and Mrs. Mitchell, are the proprietors of a small secondhand store. On </w:t>
      </w:r>
      <w:smartTag w:uri="urn:schemas-microsoft-com:office:smarttags" w:element="date">
        <w:smartTagPr>
          <w:attr w:name="Month" w:val="8"/>
          <w:attr w:name="Day" w:val="12"/>
          <w:attr w:name="Year" w:val="1978"/>
        </w:smartTagPr>
        <w:r w:rsidRPr="00EE0FD8">
          <w:t>August 12, 1978</w:t>
        </w:r>
      </w:smartTag>
      <w:r w:rsidRPr="00EE0FD8">
        <w:t xml:space="preserve">, the Mitchells attended Alexander's Auction, where they frequently had shopped to obtain merchandise for their own use and for use as inventory in their business. </w:t>
      </w:r>
      <w:r>
        <w:t xml:space="preserve"> </w:t>
      </w:r>
      <w:r w:rsidRPr="00EE0FD8">
        <w:t>At the auction the Mitchells purchased a used safe with an inside compartment for $50. As they were told by the auctioneer when they purchased the safe, the Mitchells found that the inside compartment of the safe was locked. The safe was part of the Sumstad Estate.</w:t>
      </w:r>
      <w:r w:rsidRPr="00EE0FD8">
        <w:br/>
      </w:r>
      <w:r w:rsidRPr="00EE0FD8">
        <w:br/>
        <w:t>Several days after the auction, the Mitchells took the safe to a locksmith to have the locked compartment opened. The locksmith found $32,207 inside. The Everett Police Department, notified by the locksmith, impounded the money.</w:t>
      </w:r>
      <w:r w:rsidRPr="00EE0FD8">
        <w:br/>
      </w:r>
      <w:r w:rsidRPr="00EE0FD8">
        <w:br/>
        <w:t xml:space="preserve">We agree with the Court of Appeals that the question is not whether the Estate, through its agent, entrusted the safe and its contents to the auctioneer who sold it in the ordinary course of business. Clearly the entrustment did occur. The issue is whether there was in fact a sale of the safe and its unknown contents at the auction. </w:t>
      </w:r>
      <w:r>
        <w:t xml:space="preserve"> </w:t>
      </w:r>
      <w:r w:rsidRPr="00EE0FD8">
        <w:t>In contrast to the Court of Appeals, we find that there was.</w:t>
      </w:r>
      <w:r w:rsidRPr="00EE0FD8">
        <w:br/>
      </w:r>
      <w:r w:rsidRPr="00EE0FD8">
        <w:br/>
        <w:t>A sale is a consensual transaction.  The subject matter which passes is to be determined by the intent of the parties as revealed by the terms of their agreement in light of the surrounding circumstances. The objective manifestation theory of contracts, which is followed in this state, lays stress on the outward manifestation of assent made by each party to the other. The subjective intention of the parties is irrelevant.</w:t>
      </w:r>
    </w:p>
    <w:p w:rsidR="00032A5B" w:rsidRPr="00EE0FD8" w:rsidRDefault="00032A5B" w:rsidP="00032A5B">
      <w:r w:rsidRPr="00EE0FD8">
        <w:br/>
        <w:t xml:space="preserve">A contract has, strictly speaking, nothing to do with the personal, or individual, intent of the parties. A contract is an obligation attached by the mere force of law to certain acts of the parties, usually words, which ordinarily accompany and represent a known intent. If, however, it were proved by twenty bishops that either party, when he used the words, intended something else than the usual meaning which the law imposes upon them, he would still be held, unless there were some mutual mistake, or something else of the sort. . . </w:t>
      </w:r>
    </w:p>
    <w:p w:rsidR="00032A5B" w:rsidRPr="00EE0FD8" w:rsidRDefault="00032A5B" w:rsidP="00032A5B">
      <w:r w:rsidRPr="00EE0FD8">
        <w:br/>
        <w:t>The apparent mutual assent of the parties, essential to the formation of a contract, must be gathered from their outward expressions and acts, and not from an unexpressed intention.</w:t>
      </w:r>
    </w:p>
    <w:p w:rsidR="00032A5B" w:rsidRDefault="00032A5B" w:rsidP="00032A5B">
      <w:r w:rsidRPr="00EE0FD8">
        <w:br/>
        <w:t>The inquiry, then, is into the outward manifestations of intent by a party to enter into a contract. We impute an intention corresponding to the reasonable meaning of a person's words and acts.  If the offeror, judged by a reasonable standard, manifests an intention to agree in regard to the matter in question, that agreement is established.</w:t>
      </w:r>
      <w:r w:rsidRPr="00EE0FD8">
        <w:br/>
      </w:r>
      <w:r w:rsidRPr="00EE0FD8">
        <w:br/>
        <w:t xml:space="preserve">There are few reported cases on whether the unknown contents of an item pass with its sale, and even fewer that deal with consensual transactions. . . .   The case upon which the Court of Appeals relies, </w:t>
      </w:r>
      <w:r w:rsidRPr="00EE0FD8">
        <w:rPr>
          <w:i/>
          <w:iCs/>
        </w:rPr>
        <w:t>West Coast Airlines, Inc. v. Miner's Aircraft &amp; Engine Serv., Inc.,</w:t>
      </w:r>
      <w:r w:rsidRPr="00EE0FD8">
        <w:t xml:space="preserve"> is inapposite. </w:t>
      </w:r>
      <w:r>
        <w:t xml:space="preserve"> </w:t>
      </w:r>
      <w:r w:rsidRPr="00EE0FD8">
        <w:t xml:space="preserve">In that case, a commercial scrap metal company, Junk Traders, removed several containers of scrap metal from plaintiff West Coast Airlines' storage yard. Inadvertently, two containers in which aircraft </w:t>
      </w:r>
      <w:r w:rsidRPr="00EE0FD8">
        <w:lastRenderedPageBreak/>
        <w:t>engines were stored were removed by Junk Traders along with the scrap metal. West Coast, however, retained Federal Aviation Agency documents of title for the engines. A year later, Mr. Miner, president of Miner's Aircraft, learned about the engines from a competitor of Junk Traders. He purchased both engines for $125 and shortly thereafter resold one of them to a fourth party without the Federal Aviation Agency documents. West Coast first became aware of the mistake as a result of a telephone conversation in which Mr. Miner told a West Coast employee that the federal records for the engines would be "worth a jug of booze to me". Shortly thereafter, West Coast commenced suit to recover the engines.</w:t>
      </w:r>
      <w:r w:rsidRPr="00EE0FD8">
        <w:br/>
      </w:r>
      <w:r w:rsidRPr="00EE0FD8">
        <w:br/>
        <w:t xml:space="preserve">In </w:t>
      </w:r>
      <w:r w:rsidRPr="00EE0FD8">
        <w:rPr>
          <w:i/>
          <w:iCs/>
        </w:rPr>
        <w:t>West Coast Airlines</w:t>
      </w:r>
      <w:r w:rsidRPr="00EE0FD8">
        <w:t>, the aircraft engines were clearly not intended to be sold to Junk Traders. The inclusion of the engines in the sale of scrap metal was inadvertent and wholly unknown to both parties. Neither party was aware the sealed containers might hold anything other than scrap metal. Furthermore, West Coast Airlines retained the federal documents that must be transferred to the purchaser upon the sale of an aircraft engine, a clear indication it did not intend to pass title to the engines.</w:t>
      </w:r>
      <w:r w:rsidRPr="00EE0FD8">
        <w:br/>
      </w:r>
      <w:r w:rsidRPr="00EE0FD8">
        <w:br/>
        <w:t>In the case before us, the purcha</w:t>
      </w:r>
      <w:r>
        <w:t>sers stated in their affidavit:</w:t>
      </w:r>
    </w:p>
    <w:p w:rsidR="00032A5B" w:rsidRPr="00EE0FD8" w:rsidRDefault="00032A5B" w:rsidP="00032A5B"/>
    <w:p w:rsidR="00032A5B" w:rsidRPr="00EE0FD8" w:rsidRDefault="00032A5B" w:rsidP="00032A5B">
      <w:r w:rsidRPr="00EE0FD8">
        <w:t>“[W]e saw that the top outer-most door with a combination lock was open, and that the inner door was locked shut. That inner door required a key to open, and we learned that the safe would have to be taken to a locksmith to get the inner door opened because no key was available. We also learned that the combination for the outer lock was unknown. The auctioneer told the bidders that both this and the other safe had come from an estate, that both were still locked, that neither had been opened, and that the required combinations and key were unavailable for either.”</w:t>
      </w:r>
    </w:p>
    <w:p w:rsidR="00032A5B" w:rsidRDefault="00032A5B" w:rsidP="00032A5B">
      <w:r w:rsidRPr="00EE0FD8">
        <w:br/>
        <w:t xml:space="preserve">The auctioneer's affidavit stated that: </w:t>
      </w:r>
    </w:p>
    <w:p w:rsidR="00032A5B" w:rsidRPr="00EE0FD8" w:rsidRDefault="00032A5B" w:rsidP="00032A5B"/>
    <w:p w:rsidR="00032A5B" w:rsidRPr="00EE0FD8" w:rsidRDefault="00032A5B" w:rsidP="00032A5B">
      <w:r w:rsidRPr="00EE0FD8">
        <w:t>“I told the crowd at the auction that [the safes] were from an estate, that they were still locked and had never been opened by me and that I didn't have the combinations.”</w:t>
      </w:r>
    </w:p>
    <w:p w:rsidR="00032A5B" w:rsidRDefault="00032A5B" w:rsidP="00032A5B">
      <w:r w:rsidRPr="00EE0FD8">
        <w:br/>
        <w:t>These affidavits are undisputed. In addition, the Mitchells were aware of the rule of the auction that all sales were final. Furthermore, the auctioneer made no statement reserving rights to any contents of the safe to the Estate. Under these circumstances, we hold reasonable persons would conclude that the auctioneer manifested an objective intent to sell the safe and its contents and that the parties mutually assented to enter into that sale of the safe and the contents of the locked compartment.</w:t>
      </w:r>
      <w:r w:rsidRPr="00EE0FD8">
        <w:br/>
      </w:r>
      <w:r w:rsidRPr="00EE0FD8">
        <w:br/>
        <w:t>In the words of the dissenting judge in the Court of Appeals</w:t>
      </w:r>
      <w:r>
        <w:t>:</w:t>
      </w:r>
    </w:p>
    <w:p w:rsidR="00032A5B" w:rsidRPr="00EE0FD8" w:rsidRDefault="00032A5B" w:rsidP="00032A5B">
      <w:r w:rsidRPr="00EE0FD8">
        <w:br/>
        <w:t>“The unique facts of this case make it one of those apparently rare instances in history in which the objective manifestations of the contracting parties reflected a mutual assent to the sale of the unknown contents of the object sold. The function of a safe is to provide a place for storing one's money or other valuables. When a locked safe is sold without the key, under all of the circumstances present in this case, the reasonable expectations of the buyer should be protected.”</w:t>
      </w:r>
    </w:p>
    <w:p w:rsidR="00032A5B" w:rsidRDefault="00032A5B" w:rsidP="00032A5B">
      <w:r w:rsidRPr="00EE0FD8">
        <w:br/>
        <w:t>We concur in this view.</w:t>
      </w:r>
      <w:r w:rsidRPr="00EE0FD8">
        <w:br/>
      </w:r>
      <w:r w:rsidRPr="00EE0FD8">
        <w:br/>
        <w:t xml:space="preserve">While the request by the Mitchells for attorney fees was  properly denied, we hold it was error to grant the Estate's motion for summary judgment and error not to grant the motion for summary judgment by the Mitchells. The Court of Appeals is affirmed as to attorney fees and reversed as to the granting of the summary judgment to the Estate. </w:t>
      </w:r>
      <w:r>
        <w:t xml:space="preserve"> </w:t>
      </w:r>
      <w:r w:rsidRPr="00EE0FD8">
        <w:t>This matter is remanded to the trial court for entry of the summary judgment in favor of the Mitchells.</w:t>
      </w:r>
    </w:p>
    <w:p w:rsidR="00032A5B" w:rsidRPr="00EE0FD8" w:rsidRDefault="00032A5B" w:rsidP="00032A5B"/>
    <w:p w:rsidR="00032A5B" w:rsidRDefault="00032A5B" w:rsidP="00032A5B">
      <w:pPr>
        <w:ind w:left="300" w:right="300"/>
        <w:jc w:val="center"/>
      </w:pPr>
      <w:r>
        <w:br w:type="page"/>
      </w:r>
    </w:p>
    <w:p w:rsidR="00032A5B" w:rsidRDefault="00032A5B" w:rsidP="00032A5B">
      <w:pPr>
        <w:jc w:val="center"/>
      </w:pPr>
      <w:r>
        <w:lastRenderedPageBreak/>
        <w:t>Morris Lefkowitz v. Great Minneapolis Surplus Store, Inc.</w:t>
      </w:r>
    </w:p>
    <w:p w:rsidR="00032A5B" w:rsidRDefault="00032A5B" w:rsidP="00032A5B">
      <w:pPr>
        <w:jc w:val="center"/>
      </w:pPr>
    </w:p>
    <w:p w:rsidR="00032A5B" w:rsidRDefault="00032A5B" w:rsidP="00032A5B">
      <w:pPr>
        <w:jc w:val="center"/>
      </w:pPr>
      <w:r>
        <w:t xml:space="preserve">Supreme Court of </w:t>
      </w:r>
      <w:smartTag w:uri="urn:schemas-microsoft-com:office:smarttags" w:element="place">
        <w:smartTag w:uri="urn:schemas-microsoft-com:office:smarttags" w:element="State">
          <w:r>
            <w:t>Minnesota</w:t>
          </w:r>
        </w:smartTag>
      </w:smartTag>
    </w:p>
    <w:p w:rsidR="00032A5B" w:rsidRDefault="00032A5B" w:rsidP="00032A5B">
      <w:pPr>
        <w:jc w:val="center"/>
      </w:pPr>
    </w:p>
    <w:p w:rsidR="00032A5B" w:rsidRDefault="00032A5B" w:rsidP="00032A5B">
      <w:pPr>
        <w:jc w:val="center"/>
      </w:pPr>
      <w:r>
        <w:t xml:space="preserve">251 </w:t>
      </w:r>
      <w:smartTag w:uri="urn:schemas-microsoft-com:office:smarttags" w:element="place">
        <w:smartTag w:uri="urn:schemas-microsoft-com:office:smarttags" w:element="State">
          <w:r>
            <w:t>Minn.</w:t>
          </w:r>
        </w:smartTag>
      </w:smartTag>
      <w:r>
        <w:t xml:space="preserve"> 188; 86 N.W.2d 689</w:t>
      </w:r>
    </w:p>
    <w:p w:rsidR="00032A5B" w:rsidRDefault="00032A5B" w:rsidP="00032A5B">
      <w:pPr>
        <w:jc w:val="center"/>
      </w:pPr>
    </w:p>
    <w:p w:rsidR="00032A5B" w:rsidRDefault="00032A5B" w:rsidP="00032A5B">
      <w:pPr>
        <w:jc w:val="center"/>
      </w:pPr>
      <w:smartTag w:uri="urn:schemas-microsoft-com:office:smarttags" w:element="date">
        <w:smartTagPr>
          <w:attr w:name="Month" w:val="12"/>
          <w:attr w:name="Day" w:val="20"/>
          <w:attr w:name="Year" w:val="1957"/>
        </w:smartTagPr>
        <w:smartTag w:uri="urn:schemas-microsoft-com:office:smarttags" w:element="date">
          <w:smartTagPr>
            <w:attr w:name="Year" w:val="19"/>
            <w:attr w:name="Day" w:val="20"/>
            <w:attr w:name="Month" w:val="12"/>
            <w:attr w:name="ls" w:val="trans"/>
          </w:smartTagPr>
          <w:r>
            <w:t>December 20, 19</w:t>
          </w:r>
        </w:smartTag>
        <w:r>
          <w:t>57</w:t>
        </w:r>
      </w:smartTag>
    </w:p>
    <w:p w:rsidR="00032A5B" w:rsidRDefault="00032A5B" w:rsidP="00032A5B"/>
    <w:p w:rsidR="00032A5B" w:rsidRDefault="00032A5B" w:rsidP="00032A5B"/>
    <w:p w:rsidR="00032A5B" w:rsidRDefault="00032A5B" w:rsidP="00032A5B"/>
    <w:p w:rsidR="00032A5B" w:rsidRDefault="00032A5B" w:rsidP="00032A5B">
      <w:r>
        <w:t xml:space="preserve">COUNSEL: Louis F. Davis, for appellant. </w:t>
      </w:r>
    </w:p>
    <w:p w:rsidR="00032A5B" w:rsidRDefault="00032A5B" w:rsidP="00032A5B"/>
    <w:p w:rsidR="00032A5B" w:rsidRDefault="00032A5B" w:rsidP="00032A5B">
      <w:r>
        <w:t xml:space="preserve">Morris Lefkowitz, pro se, for respondent. </w:t>
      </w:r>
    </w:p>
    <w:p w:rsidR="00032A5B" w:rsidRDefault="00032A5B" w:rsidP="00032A5B"/>
    <w:p w:rsidR="00032A5B" w:rsidRDefault="00032A5B" w:rsidP="00032A5B">
      <w:r>
        <w:t xml:space="preserve">JUDGE: Murphy, Justice. </w:t>
      </w:r>
    </w:p>
    <w:p w:rsidR="00032A5B" w:rsidRDefault="00032A5B" w:rsidP="00032A5B"/>
    <w:p w:rsidR="00032A5B" w:rsidRDefault="00032A5B" w:rsidP="00032A5B">
      <w:r>
        <w:t xml:space="preserve">OPINION:  This is an appeal from  an order of the Municipal Court of Minneapolis denying the motion of the defendant for amended findings of fact, or, in the alternative, for a new trial. The order for judgment awarded the plaintiff the sum of $138.50 as damages for breach of contract. </w:t>
      </w:r>
    </w:p>
    <w:p w:rsidR="00032A5B" w:rsidRDefault="00032A5B" w:rsidP="00032A5B"/>
    <w:p w:rsidR="00032A5B" w:rsidRDefault="00032A5B" w:rsidP="00032A5B">
      <w:r>
        <w:t xml:space="preserve">This case grows out of the alleged refusal of the defendant to sell to the plaintiff a certain fur piece which it had offered for sale in a newspaper advertisement. It appears from the record that on </w:t>
      </w:r>
      <w:smartTag w:uri="urn:schemas-microsoft-com:office:smarttags" w:element="date">
        <w:smartTagPr>
          <w:attr w:name="Month" w:val="4"/>
          <w:attr w:name="Day" w:val="6"/>
          <w:attr w:name="Year" w:val="1956"/>
        </w:smartTagPr>
        <w:smartTag w:uri="urn:schemas-microsoft-com:office:smarttags" w:element="date">
          <w:smartTagPr>
            <w:attr w:name="Year" w:val="19"/>
            <w:attr w:name="Day" w:val="6"/>
            <w:attr w:name="Month" w:val="4"/>
            <w:attr w:name="ls" w:val="trans"/>
          </w:smartTagPr>
          <w:r>
            <w:t>April 6, 19</w:t>
          </w:r>
        </w:smartTag>
        <w:r>
          <w:t>56</w:t>
        </w:r>
      </w:smartTag>
      <w:r>
        <w:t xml:space="preserve">, the defendant published the following advertisement in a </w:t>
      </w:r>
      <w:smartTag w:uri="urn:schemas-microsoft-com:office:smarttags" w:element="place">
        <w:smartTag w:uri="urn:schemas-microsoft-com:office:smarttags" w:element="City">
          <w:r>
            <w:t>Minneapolis</w:t>
          </w:r>
        </w:smartTag>
      </w:smartTag>
      <w:r>
        <w:t xml:space="preserve"> newspaper: </w:t>
      </w:r>
    </w:p>
    <w:p w:rsidR="00032A5B" w:rsidRDefault="00032A5B" w:rsidP="00032A5B"/>
    <w:p w:rsidR="00032A5B" w:rsidRDefault="00032A5B" w:rsidP="00032A5B">
      <w:r>
        <w:t xml:space="preserve"> "Saturday </w:t>
      </w:r>
      <w:smartTag w:uri="urn:schemas-microsoft-com:office:smarttags" w:element="time">
        <w:smartTagPr>
          <w:attr w:name="Hour" w:val="9"/>
          <w:attr w:name="Minute" w:val="0"/>
        </w:smartTagPr>
        <w:r>
          <w:t>9 a.m.</w:t>
        </w:r>
      </w:smartTag>
      <w:r>
        <w:t xml:space="preserve"> sharp </w:t>
      </w:r>
    </w:p>
    <w:p w:rsidR="00032A5B" w:rsidRDefault="00032A5B" w:rsidP="00032A5B">
      <w:r>
        <w:t xml:space="preserve"> 3 Brand New </w:t>
      </w:r>
    </w:p>
    <w:p w:rsidR="00032A5B" w:rsidRDefault="00032A5B" w:rsidP="00032A5B">
      <w:r>
        <w:t xml:space="preserve"> Fur Coats </w:t>
      </w:r>
    </w:p>
    <w:p w:rsidR="00032A5B" w:rsidRDefault="00032A5B" w:rsidP="00032A5B">
      <w:r>
        <w:t xml:space="preserve"> Worth to $100.00 </w:t>
      </w:r>
    </w:p>
    <w:p w:rsidR="00032A5B" w:rsidRDefault="00032A5B" w:rsidP="00032A5B">
      <w:r>
        <w:t xml:space="preserve"> First Come </w:t>
      </w:r>
    </w:p>
    <w:p w:rsidR="00032A5B" w:rsidRDefault="00032A5B" w:rsidP="00032A5B">
      <w:r>
        <w:t xml:space="preserve"> First Served </w:t>
      </w:r>
    </w:p>
    <w:p w:rsidR="00032A5B" w:rsidRDefault="00032A5B" w:rsidP="00032A5B">
      <w:r>
        <w:t xml:space="preserve"> $1  Each" </w:t>
      </w:r>
    </w:p>
    <w:p w:rsidR="00032A5B" w:rsidRDefault="00032A5B" w:rsidP="00032A5B"/>
    <w:p w:rsidR="00032A5B" w:rsidRDefault="00032A5B" w:rsidP="00032A5B">
      <w:r>
        <w:t xml:space="preserve">On April 13, the defendant again published an advertisement in the same newspaper as follows: </w:t>
      </w:r>
    </w:p>
    <w:p w:rsidR="00032A5B" w:rsidRDefault="00032A5B" w:rsidP="00032A5B"/>
    <w:p w:rsidR="00032A5B" w:rsidRDefault="00032A5B" w:rsidP="00032A5B">
      <w:r>
        <w:t xml:space="preserve"> "Saturday </w:t>
      </w:r>
      <w:smartTag w:uri="urn:schemas-microsoft-com:office:smarttags" w:element="time">
        <w:smartTagPr>
          <w:attr w:name="Hour" w:val="9"/>
          <w:attr w:name="Minute" w:val="0"/>
        </w:smartTagPr>
        <w:r>
          <w:t>9 a.m.</w:t>
        </w:r>
      </w:smartTag>
      <w:r>
        <w:t xml:space="preserve"> </w:t>
      </w:r>
    </w:p>
    <w:p w:rsidR="00032A5B" w:rsidRDefault="00032A5B" w:rsidP="00032A5B">
      <w:r>
        <w:t xml:space="preserve"> 2 Brand New Pastel </w:t>
      </w:r>
    </w:p>
    <w:p w:rsidR="00032A5B" w:rsidRDefault="00032A5B" w:rsidP="00032A5B">
      <w:r>
        <w:t xml:space="preserve"> Mink 3-Skin Scarfs </w:t>
      </w:r>
    </w:p>
    <w:p w:rsidR="00032A5B" w:rsidRDefault="00032A5B" w:rsidP="00032A5B">
      <w:r>
        <w:t xml:space="preserve"> Selling for $89.50 </w:t>
      </w:r>
    </w:p>
    <w:p w:rsidR="00032A5B" w:rsidRDefault="00032A5B" w:rsidP="00032A5B">
      <w:r>
        <w:t xml:space="preserve"> Out they go </w:t>
      </w:r>
    </w:p>
    <w:p w:rsidR="00032A5B" w:rsidRDefault="00032A5B" w:rsidP="00032A5B">
      <w:r>
        <w:t xml:space="preserve"> Saturday. Each $1.00 </w:t>
      </w:r>
    </w:p>
    <w:p w:rsidR="00032A5B" w:rsidRDefault="00032A5B" w:rsidP="00032A5B">
      <w:r>
        <w:t xml:space="preserve"> 1 Black Lapin Stole </w:t>
      </w:r>
    </w:p>
    <w:p w:rsidR="00032A5B" w:rsidRDefault="00032A5B" w:rsidP="00032A5B">
      <w:r>
        <w:t xml:space="preserve"> Beautiful, </w:t>
      </w:r>
    </w:p>
    <w:p w:rsidR="00032A5B" w:rsidRDefault="00032A5B" w:rsidP="00032A5B">
      <w:r>
        <w:t xml:space="preserve"> worth $139.50</w:t>
      </w:r>
    </w:p>
    <w:p w:rsidR="00032A5B" w:rsidRDefault="00032A5B" w:rsidP="00032A5B">
      <w:r>
        <w:t xml:space="preserve"> $ 1.00 </w:t>
      </w:r>
    </w:p>
    <w:p w:rsidR="00032A5B" w:rsidRDefault="00032A5B" w:rsidP="00032A5B">
      <w:r>
        <w:t xml:space="preserve"> First Come </w:t>
      </w:r>
    </w:p>
    <w:p w:rsidR="00032A5B" w:rsidRDefault="00032A5B" w:rsidP="00032A5B">
      <w:r>
        <w:t xml:space="preserve"> First Served" </w:t>
      </w:r>
    </w:p>
    <w:p w:rsidR="00032A5B" w:rsidRDefault="00032A5B" w:rsidP="00032A5B"/>
    <w:p w:rsidR="00032A5B" w:rsidRDefault="00032A5B" w:rsidP="00032A5B">
      <w:r>
        <w:t xml:space="preserve">The record supports the findings of the court that on each of the Saturdays following the publication of the above-described ads the plaintiff was the first to present himself at the appropriate counter in the defendant's store and on each occasion demanded the coat and the stole so advertised and indicated his readiness to pay the sale price of $1. On both occasions, the defendant refused to sell the merchandise to the plaintiff, stating on the first occasion that by a "house rule" the offer was intended for women only and sales would not be made to men, and on the second visit that plaintiff knew defendant's house rules. </w:t>
      </w:r>
    </w:p>
    <w:p w:rsidR="00032A5B" w:rsidRDefault="00032A5B" w:rsidP="00032A5B"/>
    <w:p w:rsidR="00032A5B" w:rsidRDefault="00032A5B" w:rsidP="00032A5B">
      <w:r>
        <w:t xml:space="preserve">The trial court properly disallowed plaintiff's claim for the value of the fur coats since the value of these articles was speculative and uncertain. The only evidence of value was the advertisement itself to the effect that the coats were "Worth </w:t>
      </w:r>
      <w:r>
        <w:lastRenderedPageBreak/>
        <w:t xml:space="preserve">to $100.00," how much less being speculative especially in view of the price for which they were offered for sale. With reference to the offer of the defendant on </w:t>
      </w:r>
      <w:smartTag w:uri="urn:schemas-microsoft-com:office:smarttags" w:element="date">
        <w:smartTagPr>
          <w:attr w:name="Year" w:val="19"/>
          <w:attr w:name="Day" w:val="13"/>
          <w:attr w:name="Month" w:val="4"/>
          <w:attr w:name="ls" w:val="trans"/>
        </w:smartTagPr>
        <w:r>
          <w:t>April 13, 19</w:t>
        </w:r>
      </w:smartTag>
      <w:r>
        <w:t xml:space="preserve">56, to sell the "1 Black Lapin Stole * * * worth $139.50 * * *" the trial court held that the value of this article was established and granted judgment in favor of the plaintiff for that amount less the $1 quoted purchase price. </w:t>
      </w:r>
    </w:p>
    <w:p w:rsidR="00032A5B" w:rsidRDefault="00032A5B" w:rsidP="00032A5B"/>
    <w:p w:rsidR="00032A5B" w:rsidRDefault="00032A5B" w:rsidP="00032A5B">
      <w:r>
        <w:t>1. The defendant contends that a newspaper advertisement offering items of merchandise for sale at a named price is a "unilateral offer" which may be withdrawn without notice. He relies upon authorities which hold that, where an advertiser publishes in a newspaper that he has a certain quantity or quality of goods which he wants to dispose of at certain prices and on certain terms, such advertisements are not offers which become contracts as soon as any person to whose notice they may come signifies his acceptance by notifying the other that he will take a certain quantity of them. Such advertisements have been construed as an invitation for an offer of sale on the terms stated, which offer, when received, may be accepted or rejected and which therefore does not become a contract of sale until accepted by the seller; and until a contract has been so made, the seller  may modify or revoke such prices or terms. [citations omitted]</w:t>
      </w:r>
    </w:p>
    <w:p w:rsidR="00032A5B" w:rsidRDefault="00032A5B" w:rsidP="00032A5B"/>
    <w:p w:rsidR="00032A5B" w:rsidRDefault="00032A5B" w:rsidP="00032A5B">
      <w:r>
        <w:t xml:space="preserve">The defendant relies principally on Craft v. Elder &amp; Johnston Co. supra. In that case, the court discussed the legal effect of an advertisement offering for sale, as a one-day special, an electric sewing machine at a named price. The view was expressed that the advertisement was "not an offer made to any specific person but was made to the public generally. Thereby it would be properly designated as a unilateral offer and not being supported by any consideration could be withdrawn at will and without notice." It is true that such an offer may be withdrawn before acceptance. Since all offers are by their nature unilateral because they are necessarily made by one party or on one side in the negotation of a contract, the distinction made in that decision between a unilateral offer and a unilateral contract is not clear. On the facts before us we are concerned with whether the advertisement constituted an offer, and, if so, whether the plaintiff's conduct constituted an acceptance. </w:t>
      </w:r>
    </w:p>
    <w:p w:rsidR="00032A5B" w:rsidRDefault="00032A5B" w:rsidP="00032A5B"/>
    <w:p w:rsidR="00032A5B" w:rsidRDefault="00032A5B" w:rsidP="00032A5B">
      <w:r>
        <w:t>There are numerous authorities which hold that a particular advertisement in a newspaper or circular letter relating to a sale of articles may be construed by the court as constituting an offer, acceptance of which would complete a contract. [citations omitted] The test of whether a binding obligation may originate in advertisements addressed to the general public is "whether the facts show that some performance was promised in positive terms in return for something requested." 1 Williston, Contracts (Rev. ed.) § 27.</w:t>
      </w:r>
    </w:p>
    <w:p w:rsidR="00032A5B" w:rsidRDefault="00032A5B" w:rsidP="00032A5B"/>
    <w:p w:rsidR="00032A5B" w:rsidRDefault="00032A5B" w:rsidP="00032A5B">
      <w:r>
        <w:t xml:space="preserve">The authorities above cited emphasize that, where the offer is clear, definite, and explicit, and leaves nothing open for negotiation, it constitutes an offer, acceptance of which will complete the contract. The most recent case on the subject is Johnson v. Capital City Ford Co. (La. App.) 85 So. (2d) 75, in which the court pointed out that a newspaper advertisement relating to the purchase and sale of automobiles may constitute an offer, acceptance of which will consummate a contract and create an obligation in the offeror to perform according to the terms of the published offer. </w:t>
      </w:r>
    </w:p>
    <w:p w:rsidR="00032A5B" w:rsidRDefault="00032A5B" w:rsidP="00032A5B"/>
    <w:p w:rsidR="00032A5B" w:rsidRDefault="00032A5B" w:rsidP="00032A5B">
      <w:r>
        <w:t xml:space="preserve">Whether in any individual instance a newspaper advertisement is an offer rather than an invitation to make an offer depends on the legal intention of the parties and the surrounding circumstances. We are of the view on the facts before us that the offer by the defendant of the sale of the Lapin fur was clear, definite, and explicit, and left nothing open for negotiation. The plaintiff having successfully managed to be the first one to appear at the seller's place of business to be served, as requested by the advertisement, and having offered the stated purchase price of the article, he was entitled to performance on the part of the defendant. We think the trial court was correct in holding that there was in the conduct of the parties a sufficient mutuality of obligation to constitute a contract of sale. </w:t>
      </w:r>
    </w:p>
    <w:p w:rsidR="00032A5B" w:rsidRDefault="00032A5B" w:rsidP="00032A5B"/>
    <w:p w:rsidR="00032A5B" w:rsidRDefault="00032A5B" w:rsidP="00032A5B">
      <w:r>
        <w:t xml:space="preserve">2. The defendant contends that the offer was modified by a "house rule" to the effect that only women were qualified to receive the bargains advertised. The advertisement contained no such restriction. This objection may be disposed of briefly by stating that, while an advertiser has the right at any time before acceptance to modify his offer, he does not have the right, after acceptance, to impose new or arbitrary conditions not contained in the published offer. </w:t>
      </w:r>
    </w:p>
    <w:p w:rsidR="00032A5B" w:rsidRDefault="00032A5B" w:rsidP="00032A5B"/>
    <w:p w:rsidR="00032A5B" w:rsidRDefault="00032A5B" w:rsidP="00032A5B">
      <w:r>
        <w:t xml:space="preserve"> Affirmed.</w:t>
      </w:r>
    </w:p>
    <w:p w:rsidR="00032A5B" w:rsidRDefault="00032A5B" w:rsidP="00032A5B"/>
    <w:p w:rsidR="00032A5B" w:rsidRPr="00A56985" w:rsidRDefault="00032A5B" w:rsidP="00032A5B">
      <w:pPr>
        <w:ind w:left="1200" w:right="1200"/>
        <w:jc w:val="center"/>
        <w:rPr>
          <w:bCs/>
        </w:rPr>
      </w:pPr>
      <w:r>
        <w:br w:type="page"/>
      </w:r>
      <w:r w:rsidRPr="00A56985">
        <w:rPr>
          <w:bCs/>
        </w:rPr>
        <w:lastRenderedPageBreak/>
        <w:t xml:space="preserve">Mary Mesaros and Anthony C. Mesaros, Plaintiffs-Appellants, v. The </w:t>
      </w:r>
      <w:smartTag w:uri="urn:schemas-microsoft-com:office:smarttags" w:element="place">
        <w:smartTag w:uri="urn:schemas-microsoft-com:office:smarttags" w:element="country-region">
          <w:r w:rsidRPr="00A56985">
            <w:rPr>
              <w:bCs/>
            </w:rPr>
            <w:t>United States of America</w:t>
          </w:r>
        </w:smartTag>
      </w:smartTag>
      <w:r w:rsidRPr="00A56985">
        <w:rPr>
          <w:bCs/>
        </w:rPr>
        <w:t>, The United States Department of the Treasury, Bureau of the Mint, Defendants-Appellees</w:t>
      </w:r>
    </w:p>
    <w:p w:rsidR="00032A5B" w:rsidRPr="00A56985" w:rsidRDefault="00032A5B" w:rsidP="00032A5B">
      <w:pPr>
        <w:rPr>
          <w:bCs/>
        </w:rPr>
      </w:pPr>
    </w:p>
    <w:p w:rsidR="00032A5B" w:rsidRPr="00A56985" w:rsidRDefault="00032A5B" w:rsidP="00032A5B">
      <w:pPr>
        <w:rPr>
          <w:bCs/>
        </w:rPr>
      </w:pPr>
    </w:p>
    <w:p w:rsidR="00032A5B" w:rsidRPr="00A56985" w:rsidRDefault="00032A5B" w:rsidP="00032A5B">
      <w:pPr>
        <w:ind w:left="1200" w:right="1200"/>
        <w:jc w:val="center"/>
        <w:rPr>
          <w:bCs/>
        </w:rPr>
      </w:pPr>
      <w:smartTag w:uri="urn:schemas-microsoft-com:office:smarttags" w:element="place">
        <w:smartTag w:uri="urn:schemas-microsoft-com:office:smarttags" w:element="country-region">
          <w:r w:rsidRPr="00A56985">
            <w:rPr>
              <w:bCs/>
            </w:rPr>
            <w:t>United States</w:t>
          </w:r>
        </w:smartTag>
      </w:smartTag>
      <w:r w:rsidRPr="00A56985">
        <w:rPr>
          <w:bCs/>
        </w:rPr>
        <w:t xml:space="preserve"> Court </w:t>
      </w:r>
      <w:r>
        <w:rPr>
          <w:bCs/>
        </w:rPr>
        <w:t>o</w:t>
      </w:r>
      <w:r w:rsidRPr="00A56985">
        <w:rPr>
          <w:bCs/>
        </w:rPr>
        <w:t xml:space="preserve">f Appeals </w:t>
      </w:r>
      <w:r>
        <w:rPr>
          <w:bCs/>
        </w:rPr>
        <w:t>for t</w:t>
      </w:r>
      <w:r w:rsidRPr="00A56985">
        <w:rPr>
          <w:bCs/>
        </w:rPr>
        <w:t>he Federal Circuit</w:t>
      </w:r>
    </w:p>
    <w:p w:rsidR="00032A5B" w:rsidRPr="00A56985" w:rsidRDefault="00032A5B" w:rsidP="00032A5B">
      <w:pPr>
        <w:rPr>
          <w:bCs/>
        </w:rPr>
      </w:pPr>
    </w:p>
    <w:p w:rsidR="00032A5B" w:rsidRPr="00A56985" w:rsidRDefault="00032A5B" w:rsidP="00032A5B">
      <w:pPr>
        <w:ind w:left="1200" w:right="1200"/>
        <w:jc w:val="center"/>
        <w:rPr>
          <w:bCs/>
        </w:rPr>
      </w:pPr>
      <w:r w:rsidRPr="00A56985">
        <w:rPr>
          <w:bCs/>
        </w:rPr>
        <w:t>845 F.2d 1576</w:t>
      </w:r>
    </w:p>
    <w:p w:rsidR="00032A5B" w:rsidRPr="00A56985" w:rsidRDefault="00032A5B" w:rsidP="00032A5B">
      <w:pPr>
        <w:rPr>
          <w:bCs/>
        </w:rPr>
      </w:pPr>
    </w:p>
    <w:p w:rsidR="00032A5B" w:rsidRPr="00A56985" w:rsidRDefault="00032A5B" w:rsidP="00032A5B">
      <w:pPr>
        <w:ind w:left="1200" w:right="1200"/>
        <w:jc w:val="center"/>
        <w:rPr>
          <w:bCs/>
        </w:rPr>
      </w:pPr>
      <w:smartTag w:uri="urn:schemas-microsoft-com:office:smarttags" w:element="date">
        <w:smartTagPr>
          <w:attr w:name="Year" w:val="1988"/>
          <w:attr w:name="Day" w:val="6"/>
          <w:attr w:name="Month" w:val="5"/>
          <w:attr w:name="ls" w:val="trans"/>
        </w:smartTagPr>
        <w:r w:rsidRPr="00A56985">
          <w:rPr>
            <w:bCs/>
          </w:rPr>
          <w:t>May 6, 1988</w:t>
        </w:r>
      </w:smartTag>
      <w:r w:rsidRPr="00A56985">
        <w:rPr>
          <w:bCs/>
        </w:rPr>
        <w:t>, Decided</w:t>
      </w:r>
    </w:p>
    <w:p w:rsidR="00032A5B" w:rsidRPr="00A56985" w:rsidRDefault="00032A5B" w:rsidP="00032A5B">
      <w:pPr>
        <w:ind w:left="1200" w:right="1200"/>
        <w:jc w:val="center"/>
        <w:rPr>
          <w:bCs/>
        </w:rPr>
      </w:pPr>
    </w:p>
    <w:p w:rsidR="00032A5B" w:rsidRDefault="00032A5B" w:rsidP="00032A5B">
      <w:pPr>
        <w:rPr>
          <w:bCs/>
        </w:rPr>
      </w:pPr>
    </w:p>
    <w:p w:rsidR="00032A5B" w:rsidRPr="00A56985" w:rsidRDefault="00032A5B" w:rsidP="00032A5B">
      <w:pPr>
        <w:rPr>
          <w:bCs/>
        </w:rPr>
      </w:pPr>
    </w:p>
    <w:p w:rsidR="00032A5B" w:rsidRPr="00A56985" w:rsidRDefault="00032A5B" w:rsidP="00032A5B">
      <w:r w:rsidRPr="00A56985">
        <w:rPr>
          <w:bCs/>
        </w:rPr>
        <w:t xml:space="preserve">JUDGES:  </w:t>
      </w:r>
      <w:r w:rsidRPr="00A56985">
        <w:t xml:space="preserve">Mayer, Circuit Judge, and Skelton and Baldwin, Senior Circuit Judges.  </w:t>
      </w:r>
      <w:r>
        <w:t xml:space="preserve">   </w:t>
      </w:r>
      <w:r w:rsidRPr="00A56985">
        <w:rPr>
          <w:bCs/>
        </w:rPr>
        <w:t xml:space="preserve">Opinion </w:t>
      </w:r>
      <w:r>
        <w:rPr>
          <w:bCs/>
        </w:rPr>
        <w:t>b</w:t>
      </w:r>
      <w:r w:rsidRPr="00A56985">
        <w:rPr>
          <w:bCs/>
        </w:rPr>
        <w:t xml:space="preserve">y:  </w:t>
      </w:r>
      <w:r w:rsidRPr="00A56985">
        <w:t xml:space="preserve">Skelton </w:t>
      </w:r>
    </w:p>
    <w:p w:rsidR="00032A5B" w:rsidRPr="00A56985" w:rsidRDefault="00032A5B" w:rsidP="00032A5B">
      <w:pPr>
        <w:spacing w:before="120"/>
      </w:pPr>
    </w:p>
    <w:p w:rsidR="00032A5B" w:rsidRDefault="00032A5B" w:rsidP="00032A5B">
      <w:pPr>
        <w:spacing w:before="120"/>
      </w:pPr>
      <w:r>
        <w:t xml:space="preserve">On </w:t>
      </w:r>
      <w:smartTag w:uri="urn:schemas-microsoft-com:office:smarttags" w:element="date">
        <w:smartTagPr>
          <w:attr w:name="Year" w:val="1986"/>
          <w:attr w:name="Day" w:val="23"/>
          <w:attr w:name="Month" w:val="5"/>
          <w:attr w:name="ls" w:val="trans"/>
        </w:smartTagPr>
        <w:r>
          <w:t>May 23, 1986</w:t>
        </w:r>
      </w:smartTag>
      <w:r>
        <w:t>, plaintiffs Mary Mesaros and husband Anthony C. Mesaros filed a class action lawsuit for themselves and others similarly situated (thirty-three of whom were named) in the United States District Court for the Southern District of Georgia, against the United States of America, the United States Department of the Treasury, the Bureau of the Mint, (defendants) seeking damages for an alleged breach of contract by defendants in failing to deliver a quantity of Statue of Liberty commemorative coins they had ordered from defendants pursuant to an advertisement mailed to plaintiffs and published in newspapers and other news media by the United States Mint. Plaintiffs also filed a motion for certification of the class.</w:t>
      </w:r>
    </w:p>
    <w:p w:rsidR="00032A5B" w:rsidRDefault="00032A5B" w:rsidP="00032A5B">
      <w:pPr>
        <w:spacing w:before="120"/>
      </w:pPr>
      <w:r>
        <w:t xml:space="preserve">The defendants filed a motion to dismiss plaintiffs' suit, or in the alternative for summary judgment. On </w:t>
      </w:r>
      <w:smartTag w:uri="urn:schemas-microsoft-com:office:smarttags" w:element="date">
        <w:smartTagPr>
          <w:attr w:name="Year" w:val="1987"/>
          <w:attr w:name="Day" w:val="13"/>
          <w:attr w:name="Month" w:val="4"/>
          <w:attr w:name="ls" w:val="trans"/>
        </w:smartTagPr>
        <w:r>
          <w:t>April 13, 1987</w:t>
        </w:r>
      </w:smartTag>
      <w:r>
        <w:t xml:space="preserve">, the court granted judgment for defendants on their motion in its entirety. No action was taken by the court on the class action motion because it was moot after the other action by the court. The plaintiffs filed an appeal in the United States Court of Appeals for the Eleventh Circuit. On motion of defendants, the case was transferred to this court. </w:t>
      </w:r>
    </w:p>
    <w:p w:rsidR="00032A5B" w:rsidRDefault="00032A5B" w:rsidP="00032A5B">
      <w:pPr>
        <w:spacing w:before="120"/>
      </w:pPr>
      <w:r>
        <w:t xml:space="preserve">The facts in the case, as stated in an order of the district court dated </w:t>
      </w:r>
      <w:smartTag w:uri="urn:schemas-microsoft-com:office:smarttags" w:element="date">
        <w:smartTagPr>
          <w:attr w:name="Year" w:val="1987"/>
          <w:attr w:name="Day" w:val="13"/>
          <w:attr w:name="Month" w:val="4"/>
          <w:attr w:name="ls" w:val="trans"/>
        </w:smartTagPr>
        <w:r>
          <w:t>April 13, 1987</w:t>
        </w:r>
      </w:smartTag>
      <w:r>
        <w:t xml:space="preserve">, (with a few omissions and additions), and as shown by the record are as follow. </w:t>
      </w:r>
    </w:p>
    <w:p w:rsidR="00032A5B" w:rsidRDefault="00032A5B" w:rsidP="00032A5B">
      <w:pPr>
        <w:spacing w:before="120"/>
      </w:pPr>
      <w:r>
        <w:t xml:space="preserve">In July 1985, Congress passed the Statue of Liberty-Ellis Island Commemorative Coin Act. The purpose of the Act was to provide funds, through the sale of a limited number of specially-minted commemorative coins, "to restore and renovate the Statue of Liberty and the facilities used for immigration at </w:t>
      </w:r>
      <w:smartTag w:uri="urn:schemas-microsoft-com:office:smarttags" w:element="place">
        <w:r>
          <w:t>Ellis Island</w:t>
        </w:r>
      </w:smartTag>
      <w:r>
        <w:t>," and to establish an endowment to provide for the upkeep and maintenance of these national monuments. . . .</w:t>
      </w:r>
    </w:p>
    <w:p w:rsidR="00032A5B" w:rsidRDefault="00032A5B" w:rsidP="00032A5B">
      <w:pPr>
        <w:spacing w:before="120"/>
      </w:pPr>
      <w:r>
        <w:t xml:space="preserve">The provision of the Act that is directly implicated in this action is  § 105(c), which reads: "The Secretary [of the Treasury] shall accept prepaid orders for [commemorative] coins prior to the issuance of the coins. Sales under this subsection shall be at a reasonable discount to reflect the benefit of prepayment." A related provision,  § 105(d), authorized bulk sales of commemorative  coins at a discount. Pursuant to these provisions, in November and December 1985, the Mint mailed certain advertising materials to persons, including the plaintiffs, whose names were included on a list of previous customers/coin collectors. These materials described the various coins the issuance of which was authorized by the Act, and encouraged potential purchasers to forward early payment for commemorative coins. The materials represented, </w:t>
      </w:r>
      <w:r>
        <w:rPr>
          <w:i/>
          <w:iCs/>
        </w:rPr>
        <w:t>inter alia</w:t>
      </w:r>
      <w:r>
        <w:t xml:space="preserve">, that "if [the Mint] receives your reservation by </w:t>
      </w:r>
      <w:smartTag w:uri="urn:schemas-microsoft-com:office:smarttags" w:element="date">
        <w:smartTagPr>
          <w:attr w:name="Year" w:val="1985"/>
          <w:attr w:name="Day" w:val="31"/>
          <w:attr w:name="Month" w:val="12"/>
          <w:attr w:name="ls" w:val="trans"/>
        </w:smartTagPr>
        <w:r>
          <w:t>December 31, 1985</w:t>
        </w:r>
      </w:smartTag>
      <w:r>
        <w:t xml:space="preserve">, you will enjoy a favorable </w:t>
      </w:r>
      <w:r>
        <w:rPr>
          <w:i/>
          <w:iCs/>
        </w:rPr>
        <w:t>Pre-Issue Discount</w:t>
      </w:r>
      <w:r>
        <w:t xml:space="preserve"> saving you up to 16% on your coins." Payment could be made either by check, money order, or credit card. Apparently, the Mint had not previously dealt with credit card sales, and the processing of credit card orders, which in this case turned out to be an almost impossible ordeal, was contracted to the Mellon Bank in </w:t>
      </w:r>
      <w:smartTag w:uri="urn:schemas-microsoft-com:office:smarttags" w:element="place">
        <w:smartTag w:uri="urn:schemas-microsoft-com:office:smarttags" w:element="City">
          <w:r>
            <w:t>Pittsburgh</w:t>
          </w:r>
        </w:smartTag>
        <w:r>
          <w:t xml:space="preserve">, </w:t>
        </w:r>
        <w:smartTag w:uri="urn:schemas-microsoft-com:office:smarttags" w:element="State">
          <w:r>
            <w:t>Pennsylvania</w:t>
          </w:r>
        </w:smartTag>
      </w:smartTag>
      <w:r>
        <w:t xml:space="preserve">. </w:t>
      </w:r>
    </w:p>
    <w:p w:rsidR="00032A5B" w:rsidRDefault="00032A5B" w:rsidP="00032A5B">
      <w:pPr>
        <w:spacing w:before="120"/>
      </w:pPr>
      <w:r>
        <w:t xml:space="preserve">The materials included an order form. Directly above the space provided on this form for the customer's signature was the following: </w:t>
      </w:r>
    </w:p>
    <w:p w:rsidR="00032A5B" w:rsidRDefault="00032A5B" w:rsidP="00032A5B"/>
    <w:p w:rsidR="00032A5B" w:rsidRDefault="00032A5B" w:rsidP="00032A5B">
      <w:pPr>
        <w:ind w:left="600" w:right="600"/>
      </w:pPr>
      <w:r>
        <w:rPr>
          <w:sz w:val="16"/>
          <w:szCs w:val="16"/>
        </w:rPr>
        <w:t xml:space="preserve">VERY IMPORTANT -- PLEASE READ: YES, Please accept my order for the U.S. Liberty Coins I have indicated. I understand that all sales are final and not subject to refund. Verification of my order will be made by the Department of the Treasury, U.S. Mint. My coins may be delivered in multiple shipments. If my order is received by </w:t>
      </w:r>
      <w:smartTag w:uri="urn:schemas-microsoft-com:office:smarttags" w:element="date">
        <w:smartTagPr>
          <w:attr w:name="Year" w:val="1985"/>
          <w:attr w:name="Day" w:val="31"/>
          <w:attr w:name="Month" w:val="12"/>
          <w:attr w:name="ls" w:val="trans"/>
        </w:smartTagPr>
        <w:r>
          <w:rPr>
            <w:sz w:val="16"/>
            <w:szCs w:val="16"/>
          </w:rPr>
          <w:t>December 31, 1985</w:t>
        </w:r>
      </w:smartTag>
      <w:r>
        <w:rPr>
          <w:sz w:val="16"/>
          <w:szCs w:val="16"/>
        </w:rPr>
        <w:t>, I will be entitled to purchase the coins at the Pre-Issue Discount price shown. I have read, understand and agree to the above.</w:t>
      </w:r>
    </w:p>
    <w:p w:rsidR="00032A5B" w:rsidRDefault="00032A5B" w:rsidP="00032A5B"/>
    <w:p w:rsidR="00032A5B" w:rsidRDefault="00032A5B" w:rsidP="00032A5B">
      <w:pPr>
        <w:spacing w:before="120"/>
      </w:pPr>
      <w:r>
        <w:t xml:space="preserve">Demand for the coins far exceeded the Mint's expectations. There was an insufficient quantity of five-dollar gold coins, however, with which to fill the orders of many of those who responded to the Mint's promotional materials. The last order </w:t>
      </w:r>
      <w:r>
        <w:lastRenderedPageBreak/>
        <w:t xml:space="preserve">for gold coins that was filled was accepted "some time between </w:t>
      </w:r>
      <w:smartTag w:uri="urn:schemas-microsoft-com:office:smarttags" w:element="date">
        <w:smartTagPr>
          <w:attr w:name="Year" w:val="1985"/>
          <w:attr w:name="Day" w:val="31"/>
          <w:attr w:name="Month" w:val="12"/>
          <w:attr w:name="ls" w:val="trans"/>
        </w:smartTagPr>
        <w:r>
          <w:t>December 31, 1985</w:t>
        </w:r>
      </w:smartTag>
      <w:r>
        <w:t xml:space="preserve">, and </w:t>
      </w:r>
      <w:smartTag w:uri="urn:schemas-microsoft-com:office:smarttags" w:element="date">
        <w:smartTagPr>
          <w:attr w:name="Year" w:val="1986"/>
          <w:attr w:name="Day" w:val="6"/>
          <w:attr w:name="Month" w:val="1"/>
          <w:attr w:name="ls" w:val="trans"/>
        </w:smartTagPr>
        <w:r>
          <w:t>January 6, 1986</w:t>
        </w:r>
      </w:smartTag>
      <w:r>
        <w:t>.  This exhausted the supply of 500,000 gold coins the issuance of which was authorized by the Act.   A great many would-be acquisitors of gold coins were disappointed by the news of the sell-out. These individuals, many of whom were coin dealers, developed a more serious case of disappointment when it became apparent that the gold coins had increased in value by approximately 200% within the first few months of 1986. . . .</w:t>
      </w:r>
    </w:p>
    <w:p w:rsidR="00032A5B" w:rsidRDefault="00032A5B" w:rsidP="00032A5B">
      <w:pPr>
        <w:spacing w:before="120"/>
      </w:pPr>
      <w:r>
        <w:t xml:space="preserve">Plaintiffs allege that on </w:t>
      </w:r>
      <w:smartTag w:uri="urn:schemas-microsoft-com:office:smarttags" w:element="date">
        <w:smartTagPr>
          <w:attr w:name="Year" w:val="1985"/>
          <w:attr w:name="Day" w:val="26"/>
          <w:attr w:name="Month" w:val="11"/>
          <w:attr w:name="ls" w:val="trans"/>
        </w:smartTagPr>
        <w:r>
          <w:t>November 26, 1985</w:t>
        </w:r>
      </w:smartTag>
      <w:r>
        <w:t xml:space="preserve">, Mary Mesaros forwarded to the Mint an order for certain Statue of Liberty coins. Information concerning Anthony Mesaros' credit card was included on the order form, reflecting that the sum of $1,675 should be charged against Mr. Mesaros' credit account. Subsequently, on </w:t>
      </w:r>
      <w:smartTag w:uri="urn:schemas-microsoft-com:office:smarttags" w:element="date">
        <w:smartTagPr>
          <w:attr w:name="Year" w:val="1985"/>
          <w:attr w:name="Day" w:val="30"/>
          <w:attr w:name="Month" w:val="12"/>
          <w:attr w:name="ls" w:val="trans"/>
        </w:smartTagPr>
        <w:r>
          <w:t>December 30, 1985</w:t>
        </w:r>
      </w:smartTag>
      <w:r>
        <w:t xml:space="preserve">, Anthony Mesaros forwarded orders for an additional eighteen gold coins to the Mint. These orders were placed in the names of members of the Mesaros family, and were paid for with nine separate checks. </w:t>
      </w:r>
    </w:p>
    <w:p w:rsidR="00032A5B" w:rsidRDefault="00032A5B" w:rsidP="00032A5B">
      <w:pPr>
        <w:spacing w:before="120"/>
      </w:pPr>
      <w:r>
        <w:t xml:space="preserve">On </w:t>
      </w:r>
      <w:smartTag w:uri="urn:schemas-microsoft-com:office:smarttags" w:element="date">
        <w:smartTagPr>
          <w:attr w:name="Year" w:val="1986"/>
          <w:attr w:name="Day" w:val="18"/>
          <w:attr w:name="Month" w:val="2"/>
          <w:attr w:name="ls" w:val="trans"/>
        </w:smartTagPr>
        <w:r>
          <w:t>February 18, 1986</w:t>
        </w:r>
      </w:smartTag>
      <w:r>
        <w:t xml:space="preserve">, the Mesaroses were informed by form letter that the Mint "had tried but was unable" to process the Mesaroses' </w:t>
      </w:r>
      <w:smartTag w:uri="urn:schemas-microsoft-com:office:smarttags" w:element="date">
        <w:smartTagPr>
          <w:attr w:name="Year" w:val="1985"/>
          <w:attr w:name="Day" w:val="26"/>
          <w:attr w:name="Month" w:val="11"/>
          <w:attr w:name="ls" w:val="trans"/>
        </w:smartTagPr>
        <w:r>
          <w:t>November 26, 1985</w:t>
        </w:r>
      </w:smartTag>
      <w:r>
        <w:t>, credit card order. The letter directed the plaintiffs to contact their financial institution for details relating to the rejection of their order. A new order form was forwarded to the Mesaroses along with the form letter, with which the plaintiffs were informed that they could order "the options currently available." The options then available, of course, did not include five-dollar gold coins. . . .</w:t>
      </w:r>
    </w:p>
    <w:p w:rsidR="00032A5B" w:rsidRDefault="00032A5B" w:rsidP="00032A5B">
      <w:pPr>
        <w:spacing w:before="120"/>
      </w:pPr>
      <w:r>
        <w:t xml:space="preserve">During the early months of 1986, rumors and information began to filter through the ranks of coin collectors and dealers concerning rejections of credit card orders under circumstances similar to those faced by the Mesaroses. It was becoming apparent by March or April that persons who had paid by wires, money orders or checks, dated as late as the end of December, were receiving their coins from the Mint, while many persons who had submitted credit card orders (in November in certain cases) were not receiving their coins. These disappointed credit card customers were sent form letters by the Mint informing them either that the Mint had "tried but was unable" to process their orders (such as that received by the Mesaroses, </w:t>
      </w:r>
      <w:r>
        <w:rPr>
          <w:i/>
          <w:iCs/>
        </w:rPr>
        <w:t>see supra</w:t>
      </w:r>
      <w:r>
        <w:t xml:space="preserve">), or that their order could not be processed because the gold coins had sold out. According to plaintiffs, the rejection of their credit card order, and the rejection of other collectors' and dealers' credit card orders, is inexplicable on any reasonable basis, in that there existed no inaccuracies in the information provided to the Mint and no shortage of credit on the part of those submitting orders. . . . </w:t>
      </w:r>
    </w:p>
    <w:p w:rsidR="00032A5B" w:rsidRDefault="00032A5B" w:rsidP="00032A5B">
      <w:pPr>
        <w:spacing w:before="120"/>
      </w:pPr>
      <w:r>
        <w:t xml:space="preserve">The record shows that the Mint and the Mellon Bank were simply swamped with a deluge of 756,000 orders, of which 186,000 were credit card orders. Cash orders were filled fairly promptly by the Mint, but credit card orders before being filled had to be sent by the Mint to the Mellon Bank in </w:t>
      </w:r>
      <w:smartTag w:uri="urn:schemas-microsoft-com:office:smarttags" w:element="place">
        <w:smartTag w:uri="urn:schemas-microsoft-com:office:smarttags" w:element="City">
          <w:r>
            <w:t>Pittsburgh</w:t>
          </w:r>
        </w:smartTag>
      </w:smartTag>
      <w:r>
        <w:t xml:space="preserve"> for verification, investigation, and determination of validity. This was at best a slow process. Credit card orders, when approved by the Mellon Bank were certified as valid and returned to the Mint to be filled. Before all of the 186,000 credit card orders could be verified by the Mellon Bank and thereafter filled by the Mint, all of the gold coins had been sold by the Mint in filling cash orders, and no more coins were available. As a result, 13,000 unverified and uncertified credit card orders could not be filled, and were rejected by the Mint. The Mesaros order was in this rejected group. . . . </w:t>
      </w:r>
    </w:p>
    <w:p w:rsidR="00032A5B" w:rsidRDefault="00032A5B" w:rsidP="00032A5B">
      <w:pPr>
        <w:spacing w:before="120"/>
      </w:pPr>
      <w:r>
        <w:t xml:space="preserve">On </w:t>
      </w:r>
      <w:smartTag w:uri="urn:schemas-microsoft-com:office:smarttags" w:element="date">
        <w:smartTagPr>
          <w:attr w:name="Year" w:val="1986"/>
          <w:attr w:name="Day" w:val="23"/>
          <w:attr w:name="Month" w:val="5"/>
          <w:attr w:name="ls" w:val="trans"/>
        </w:smartTagPr>
        <w:r>
          <w:t>May 23, 1986</w:t>
        </w:r>
      </w:smartTag>
      <w:r>
        <w:t>, plaintiffs filed suit in the district court, seeking either damages on a breach of contract theory or, in the alternative, mandamus relief in the form of a court order forcing defendants to accept plaintiffs' credit card order. Such mandamus relief would ultimately require, according to plaintiffs, the government to deliver the plaintiffs the gold coins that they ordered in November 1985.</w:t>
      </w:r>
    </w:p>
    <w:p w:rsidR="00032A5B" w:rsidRDefault="00032A5B" w:rsidP="00032A5B">
      <w:pPr>
        <w:spacing w:before="120"/>
      </w:pPr>
    </w:p>
    <w:p w:rsidR="00032A5B" w:rsidRDefault="00032A5B" w:rsidP="00032A5B">
      <w:pPr>
        <w:spacing w:before="120"/>
      </w:pPr>
      <w:r>
        <w:rPr>
          <w:i/>
          <w:iCs/>
        </w:rPr>
        <w:t>Breach of Contract</w:t>
      </w:r>
      <w:r>
        <w:t xml:space="preserve"> </w:t>
      </w:r>
    </w:p>
    <w:p w:rsidR="00032A5B" w:rsidRDefault="00032A5B" w:rsidP="00032A5B">
      <w:pPr>
        <w:spacing w:before="120"/>
      </w:pPr>
      <w:r>
        <w:t>The plaintiffs claim that the Mint breached an express contract with them and that they are entitled to recover money damages from defendants for this breach. . . .</w:t>
      </w:r>
    </w:p>
    <w:p w:rsidR="00032A5B" w:rsidRDefault="00032A5B" w:rsidP="00032A5B">
      <w:pPr>
        <w:spacing w:before="120"/>
      </w:pPr>
      <w:r>
        <w:t xml:space="preserve">The plaintiffs contend that the materials sent to them by the Mint, including the order form, constituted an offer that upon acceptance by the plaintiffs created a binding contract between them and the government whereby the government was bound and obligated to deliver the coins ordered by them. The great weight of authority is against the plaintiffs.  It is well established that materials such as those mailed to prospective customers by the Mint are no more than advertisements or invitations to deal. They are mere notices and solicitations for offers which create no power of acceptance in the recipient. . . . </w:t>
      </w:r>
    </w:p>
    <w:p w:rsidR="00032A5B" w:rsidRDefault="00032A5B" w:rsidP="00032A5B"/>
    <w:p w:rsidR="00032A5B" w:rsidRDefault="00032A5B" w:rsidP="00032A5B">
      <w:r>
        <w:t xml:space="preserve">A basic rule of contracts holds that whether an offer has been made depends on the objective reasonableness of the alleged offeree's belief that the advertisement or solicitation was intended as an offer. Generally, it is considered unreasonable for a person to believe that advertisements and solicitations are offers that bind the advertiser. Otherwise, the advertiser could be bound by an excessive number of contracts requiring delivery of goods far in excess of amounts available. That is </w:t>
      </w:r>
      <w:r>
        <w:lastRenderedPageBreak/>
        <w:t xml:space="preserve">particularly true in the instant case where the gold coins were limited to 500,000 by the Act of Congress. We conclude that a thorough reading, construction, and interpretation of the materials sent to the plaintiffs by the Mint makes clear that the contention of the plaintiffs that they reasonably believed the materials were intended as an offer is unreasonable as a matter of law. This is especially true in view of the words "YES, Please accept my order . . ." that were printed on the credit card form, which showed that the credit card order was an offer </w:t>
      </w:r>
      <w:r>
        <w:rPr>
          <w:i/>
          <w:iCs/>
        </w:rPr>
        <w:t>from the plaintiffs</w:t>
      </w:r>
      <w:r>
        <w:t xml:space="preserve"> to the Mint to buy the coins, which offer might or might not be accepted by the Mint. Accordingly, the Mint materials were intended solely as solicitations of offers from customers that were subject to acceptance by the Mint before the Mint would be bound by a contract. . . . </w:t>
      </w:r>
    </w:p>
    <w:p w:rsidR="00032A5B" w:rsidRDefault="00032A5B" w:rsidP="00032A5B">
      <w:pPr>
        <w:spacing w:before="120"/>
      </w:pPr>
      <w:r>
        <w:t xml:space="preserve">The plaintiffs rely on </w:t>
      </w:r>
      <w:r>
        <w:rPr>
          <w:i/>
          <w:iCs/>
        </w:rPr>
        <w:t xml:space="preserve">Lefkowitz v. Great </w:t>
      </w:r>
      <w:smartTag w:uri="urn:schemas-microsoft-com:office:smarttags" w:element="City">
        <w:r>
          <w:rPr>
            <w:i/>
            <w:iCs/>
          </w:rPr>
          <w:t>Minneapolis</w:t>
        </w:r>
      </w:smartTag>
      <w:r>
        <w:rPr>
          <w:i/>
          <w:iCs/>
        </w:rPr>
        <w:t xml:space="preserve"> Surplus Store</w:t>
      </w:r>
      <w:r>
        <w:t xml:space="preserve">, 251 </w:t>
      </w:r>
      <w:smartTag w:uri="urn:schemas-microsoft-com:office:smarttags" w:element="place">
        <w:smartTag w:uri="urn:schemas-microsoft-com:office:smarttags" w:element="State">
          <w:r>
            <w:t>Minn.</w:t>
          </w:r>
        </w:smartTag>
      </w:smartTag>
      <w:r>
        <w:t xml:space="preserve"> 188, 86 N.W.2d 689 (1957).  In that case a store advertised one fur stole worth $139.50 for sale for $1.00 on a first-come, first-served basis when the store opened at </w:t>
      </w:r>
      <w:smartTag w:uri="urn:schemas-microsoft-com:office:smarttags" w:element="time">
        <w:smartTagPr>
          <w:attr w:name="Hour" w:val="9"/>
          <w:attr w:name="Minute" w:val="0"/>
        </w:smartTagPr>
        <w:r>
          <w:t>9:00 a.m.</w:t>
        </w:r>
      </w:smartTag>
      <w:r>
        <w:t xml:space="preserve"> The plaintiff arrived first, but the store refused to sell the stole to him. The plaintiff sued for breach of contract. The court held under these unusual facts that the advertisement constituted an offer. That case is clearly distinguishable from our case on the facts. Here the Mint had 35,500,000 coins for sale to the general public for which it received over 756,000 orders. The Mint advertisement did not state that the coins would be sold on a first-come, first-served basis, as in </w:t>
      </w:r>
      <w:r>
        <w:rPr>
          <w:i/>
          <w:iCs/>
        </w:rPr>
        <w:t>Lefkowitz</w:t>
      </w:r>
      <w:r>
        <w:t xml:space="preserve">, or on any other particular basis. Since the coins could be paid for with checks, money orders or credit cards, it would have been impossible for the Mint to have processed the sales on a first-come, first-served basis. The situation in </w:t>
      </w:r>
      <w:r>
        <w:rPr>
          <w:i/>
          <w:iCs/>
        </w:rPr>
        <w:t>Lefkowitz</w:t>
      </w:r>
      <w:r>
        <w:t xml:space="preserve"> was so different that it is of no help to the plaintiffs. </w:t>
      </w:r>
    </w:p>
    <w:p w:rsidR="00032A5B" w:rsidRDefault="00032A5B" w:rsidP="00032A5B">
      <w:pPr>
        <w:spacing w:before="120"/>
      </w:pPr>
      <w:r>
        <w:t xml:space="preserve">We hold that the Mint advertisement materials were not an offer of sale of the coins that could be accepted by the plaintiffs to create a contract, and that no contract was made between the plaintiffs and the government with reference to the coins. </w:t>
      </w:r>
    </w:p>
    <w:p w:rsidR="00032A5B" w:rsidRPr="00A56985" w:rsidRDefault="00032A5B" w:rsidP="00032A5B">
      <w:pPr>
        <w:spacing w:before="120"/>
      </w:pPr>
      <w:r>
        <w:t xml:space="preserve">The plaintiffs failed to allege any genuine issue of material fact, and, therefore, the court was correct as a matter of law in granting summary judgment for the defendants. </w:t>
      </w:r>
    </w:p>
    <w:p w:rsidR="00032A5B" w:rsidRDefault="00032A5B" w:rsidP="00032A5B">
      <w:pPr>
        <w:spacing w:before="120"/>
      </w:pPr>
    </w:p>
    <w:p w:rsidR="00032A5B" w:rsidRDefault="00032A5B" w:rsidP="00032A5B">
      <w:pPr>
        <w:spacing w:before="120"/>
      </w:pPr>
      <w:r>
        <w:t xml:space="preserve">In view of our decision, it is not necessary to consider plaintiffs' motion to certify their petition as a class action. </w:t>
      </w:r>
    </w:p>
    <w:p w:rsidR="00032A5B" w:rsidRDefault="00032A5B" w:rsidP="00032A5B">
      <w:pPr>
        <w:spacing w:before="120"/>
      </w:pPr>
      <w:r>
        <w:t>The decision of the district court in his well-written order is affirmed.</w:t>
      </w:r>
    </w:p>
    <w:p w:rsidR="00032A5B" w:rsidRDefault="00032A5B" w:rsidP="00032A5B">
      <w:pPr>
        <w:spacing w:before="120"/>
      </w:pPr>
      <w:r>
        <w:t>AFFIRMED.</w:t>
      </w:r>
    </w:p>
    <w:p w:rsidR="00032A5B" w:rsidRPr="00A35314" w:rsidRDefault="00032A5B" w:rsidP="00032A5B">
      <w:pPr>
        <w:ind w:left="154" w:right="154"/>
        <w:jc w:val="center"/>
      </w:pPr>
      <w:r>
        <w:br w:type="page"/>
      </w:r>
      <w:r w:rsidRPr="00A35314">
        <w:lastRenderedPageBreak/>
        <w:t>JOHN SOLDAU, Plaintiff-Appellant, v. ORGANON INC., a Delaware Corp., Defendant-Appellee</w:t>
      </w:r>
    </w:p>
    <w:p w:rsidR="00032A5B" w:rsidRPr="00A35314" w:rsidRDefault="00032A5B" w:rsidP="00032A5B">
      <w:pPr>
        <w:ind w:left="154" w:right="154"/>
        <w:jc w:val="center"/>
      </w:pPr>
      <w:r w:rsidRPr="00A35314">
        <w:br/>
      </w:r>
      <w:smartTag w:uri="urn:schemas-microsoft-com:office:smarttags" w:element="place">
        <w:smartTag w:uri="urn:schemas-microsoft-com:office:smarttags" w:element="country-region">
          <w:r w:rsidRPr="00A35314">
            <w:t>United States</w:t>
          </w:r>
        </w:smartTag>
      </w:smartTag>
      <w:r w:rsidRPr="00A35314">
        <w:t xml:space="preserve"> Court of Appeals for The Ninth Circuit</w:t>
      </w:r>
    </w:p>
    <w:p w:rsidR="00032A5B" w:rsidRPr="00A35314" w:rsidRDefault="00032A5B" w:rsidP="00032A5B">
      <w:pPr>
        <w:ind w:left="154" w:right="154"/>
        <w:jc w:val="center"/>
        <w:rPr>
          <w:rStyle w:val="hit"/>
        </w:rPr>
      </w:pPr>
      <w:r w:rsidRPr="00A35314">
        <w:br/>
      </w:r>
      <w:r w:rsidRPr="00A35314">
        <w:rPr>
          <w:rStyle w:val="hit"/>
        </w:rPr>
        <w:t>860 F.2d 355</w:t>
      </w:r>
    </w:p>
    <w:p w:rsidR="00032A5B" w:rsidRPr="00A35314" w:rsidRDefault="00032A5B" w:rsidP="00032A5B">
      <w:pPr>
        <w:ind w:left="154" w:right="154"/>
        <w:jc w:val="center"/>
      </w:pPr>
      <w:r w:rsidRPr="00A35314">
        <w:br/>
      </w:r>
      <w:smartTag w:uri="urn:schemas-microsoft-com:office:smarttags" w:element="date">
        <w:smartTagPr>
          <w:attr w:name="Month" w:val="11"/>
          <w:attr w:name="Day" w:val="2"/>
          <w:attr w:name="Year" w:val="1988"/>
        </w:smartTagPr>
        <w:r w:rsidRPr="00A35314">
          <w:t>November 2, 1988</w:t>
        </w:r>
      </w:smartTag>
    </w:p>
    <w:p w:rsidR="00032A5B" w:rsidRDefault="00032A5B" w:rsidP="00032A5B">
      <w:pPr>
        <w:ind w:left="154" w:right="154"/>
      </w:pPr>
      <w:r w:rsidRPr="00A35314">
        <w:br/>
      </w:r>
      <w:r w:rsidRPr="00A35314">
        <w:br/>
      </w:r>
      <w:r w:rsidRPr="00432C88">
        <w:rPr>
          <w:rStyle w:val="verdana"/>
          <w:bCs/>
        </w:rPr>
        <w:t>JUDGES:</w:t>
      </w:r>
      <w:r>
        <w:rPr>
          <w:rStyle w:val="verdana"/>
        </w:rPr>
        <w:t xml:space="preserve">   </w:t>
      </w:r>
      <w:r w:rsidRPr="00432C88">
        <w:rPr>
          <w:rStyle w:val="verdana"/>
        </w:rPr>
        <w:t xml:space="preserve">James R. Browning, Chief Judge, Dorothy W. Nelson and William C. Canby, Jr., Circuit Judges. </w:t>
      </w:r>
      <w:r w:rsidRPr="00432C88">
        <w:br/>
      </w:r>
      <w:r>
        <w:t>O</w:t>
      </w:r>
      <w:r w:rsidRPr="00432C88">
        <w:rPr>
          <w:rStyle w:val="verdana"/>
          <w:bCs/>
        </w:rPr>
        <w:t>PINION</w:t>
      </w:r>
      <w:r w:rsidRPr="00A35314">
        <w:rPr>
          <w:rStyle w:val="verdana"/>
          <w:b/>
          <w:bCs/>
        </w:rPr>
        <w:t>:</w:t>
      </w:r>
      <w:r w:rsidRPr="00A35314">
        <w:rPr>
          <w:rStyle w:val="verdana"/>
        </w:rPr>
        <w:t xml:space="preserve">  </w:t>
      </w:r>
      <w:r>
        <w:rPr>
          <w:rStyle w:val="verdana"/>
        </w:rPr>
        <w:t xml:space="preserve"> </w:t>
      </w:r>
      <w:r w:rsidRPr="00A35314">
        <w:rPr>
          <w:rStyle w:val="verdana"/>
        </w:rPr>
        <w:t xml:space="preserve">PER CURIAM </w:t>
      </w:r>
      <w:r w:rsidRPr="00A35314">
        <w:br/>
      </w:r>
    </w:p>
    <w:p w:rsidR="00032A5B" w:rsidRPr="00A35314" w:rsidRDefault="00032A5B" w:rsidP="00032A5B">
      <w:pPr>
        <w:ind w:left="154" w:right="154"/>
        <w:rPr>
          <w:rStyle w:val="verdana"/>
        </w:rPr>
      </w:pPr>
      <w:r w:rsidRPr="00A35314">
        <w:br/>
        <w:t>John Soldau was discharged by Organon, Inc.</w:t>
      </w:r>
      <w:r w:rsidRPr="00A35314">
        <w:rPr>
          <w:rStyle w:val="crosslinkpopup"/>
        </w:rPr>
        <w:t xml:space="preserve">  </w:t>
      </w:r>
      <w:r w:rsidRPr="00A35314">
        <w:rPr>
          <w:rStyle w:val="verdana"/>
        </w:rPr>
        <w:t>He received a letter from Organon offering to pay him double the normal severance pay in consideration of a release by Soldau of all claims against Organon. The letter incorporated the proposed release. Soldau signed and dated the release, and deposited it in a mailbox outside a post office. On returning home he found he had received a check from Organon in the amount of the increased severance pay.</w:t>
      </w:r>
      <w:bookmarkStart w:id="15" w:name="PAGE_356_1102"/>
      <w:bookmarkEnd w:id="15"/>
      <w:r w:rsidRPr="00A35314">
        <w:rPr>
          <w:rStyle w:val="verdana"/>
        </w:rPr>
        <w:t xml:space="preserve"> He returned to the post office, persuaded a postal employee to open the mailbox, and retrieved the release. He cashed Organon's check. He then filed suit against Organon, alleging violation of state law and of the Age Discrimination in Employment Act (ADEA). The district court granted summary judgment for</w:t>
      </w:r>
      <w:bookmarkStart w:id="16" w:name="PAGE_2_1292"/>
      <w:bookmarkEnd w:id="16"/>
      <w:r w:rsidRPr="00A35314">
        <w:rPr>
          <w:rStyle w:val="verdana"/>
        </w:rPr>
        <w:t xml:space="preserve"> Organon, stating "the release was deemed fully communicated to Organon, and a binding contract was formed, at the time plaintiff deposited the executed release in the mailbox. The fact that plaintiff retrieved the release from the mailbox is of no consequence under </w:t>
      </w:r>
      <w:smartTag w:uri="urn:schemas-microsoft-com:office:smarttags" w:element="place">
        <w:smartTag w:uri="urn:schemas-microsoft-com:office:smarttags" w:element="State">
          <w:r w:rsidRPr="00A35314">
            <w:rPr>
              <w:rStyle w:val="verdana"/>
            </w:rPr>
            <w:t>California</w:t>
          </w:r>
        </w:smartTag>
      </w:smartTag>
      <w:r w:rsidRPr="00A35314">
        <w:rPr>
          <w:rStyle w:val="verdana"/>
        </w:rPr>
        <w:t xml:space="preserve"> statutory and decisional law." </w:t>
      </w:r>
    </w:p>
    <w:p w:rsidR="00032A5B" w:rsidRPr="00A35314" w:rsidRDefault="00032A5B" w:rsidP="00032A5B">
      <w:pPr>
        <w:pStyle w:val="loose1"/>
        <w:ind w:left="154" w:right="154"/>
        <w:rPr>
          <w:sz w:val="20"/>
          <w:szCs w:val="20"/>
        </w:rPr>
      </w:pPr>
      <w:r w:rsidRPr="00A35314">
        <w:rPr>
          <w:sz w:val="20"/>
          <w:szCs w:val="20"/>
        </w:rPr>
        <w:t xml:space="preserve">The district court was clearly correct under </w:t>
      </w:r>
      <w:smartTag w:uri="urn:schemas-microsoft-com:office:smarttags" w:element="place">
        <w:smartTag w:uri="urn:schemas-microsoft-com:office:smarttags" w:element="State">
          <w:r w:rsidRPr="00A35314">
            <w:rPr>
              <w:sz w:val="20"/>
              <w:szCs w:val="20"/>
            </w:rPr>
            <w:t>California</w:t>
          </w:r>
        </w:smartTag>
      </w:smartTag>
      <w:r w:rsidRPr="00A35314">
        <w:rPr>
          <w:sz w:val="20"/>
          <w:szCs w:val="20"/>
        </w:rPr>
        <w:t xml:space="preserve"> law.</w:t>
      </w:r>
      <w:r w:rsidRPr="00A35314">
        <w:rPr>
          <w:rStyle w:val="FootnoteReference"/>
          <w:sz w:val="20"/>
          <w:szCs w:val="20"/>
        </w:rPr>
        <w:footnoteReference w:id="3"/>
      </w:r>
      <w:r w:rsidRPr="00A35314">
        <w:rPr>
          <w:sz w:val="20"/>
          <w:szCs w:val="20"/>
        </w:rPr>
        <w:t xml:space="preserve"> Soldau does not argue to the contrary. Instead, he contends that the formation and validity of the release are governed by federal law, and would not have been effective unless and until it had been received by Organon. We need not decide which body of law controls. Under federal as well as </w:t>
      </w:r>
      <w:smartTag w:uri="urn:schemas-microsoft-com:office:smarttags" w:element="place">
        <w:smartTag w:uri="urn:schemas-microsoft-com:office:smarttags" w:element="State">
          <w:r w:rsidRPr="00A35314">
            <w:rPr>
              <w:sz w:val="20"/>
              <w:szCs w:val="20"/>
            </w:rPr>
            <w:t>California</w:t>
          </w:r>
        </w:smartTag>
      </w:smartTag>
      <w:r w:rsidRPr="00A35314">
        <w:rPr>
          <w:sz w:val="20"/>
          <w:szCs w:val="20"/>
        </w:rPr>
        <w:t xml:space="preserve"> law, Soldau's acceptance was effective when it was mailed. </w:t>
      </w:r>
    </w:p>
    <w:p w:rsidR="00032A5B" w:rsidRPr="00A35314" w:rsidRDefault="00032A5B" w:rsidP="00032A5B">
      <w:pPr>
        <w:ind w:left="154" w:right="154"/>
      </w:pPr>
      <w:r w:rsidRPr="00A35314">
        <w:t>The so-called "mailbox" or "effective when mailed" rule was adopted and followed as federal common law by the Supreme</w:t>
      </w:r>
      <w:bookmarkStart w:id="17" w:name="PAGE_3_1292"/>
      <w:bookmarkEnd w:id="17"/>
      <w:r w:rsidRPr="00A35314">
        <w:t xml:space="preserve"> Court prior to </w:t>
      </w:r>
      <w:hyperlink r:id="rId17" w:tgtFrame="_parent" w:history="1">
        <w:r w:rsidRPr="00407E9C">
          <w:rPr>
            <w:rStyle w:val="italic"/>
            <w:i/>
          </w:rPr>
          <w:t>Erie R.R. Co. v. Tompkins</w:t>
        </w:r>
        <w:r>
          <w:rPr>
            <w:rStyle w:val="italic"/>
          </w:rPr>
          <w:t xml:space="preserve">, 304 U.S. 64 (1938) </w:t>
        </w:r>
      </w:hyperlink>
      <w:r>
        <w:t>.</w:t>
      </w:r>
      <w:r w:rsidRPr="00A35314">
        <w:t xml:space="preserve"> . . .  We could not change the rule, and there is no reason to believe the Supreme Court would be inclined to do so. It is almost universally accepted in the common law world. It is enshrined in the</w:t>
      </w:r>
      <w:r>
        <w:t xml:space="preserve"> Retatement (Second) of Contracts</w:t>
      </w:r>
      <w:r w:rsidRPr="00A35314">
        <w:t>, and endorsed by the major contract treatises.</w:t>
      </w:r>
      <w:r w:rsidRPr="00A35314">
        <w:br/>
      </w:r>
      <w:bookmarkStart w:id="18" w:name="PAGE_4_1292"/>
      <w:bookmarkEnd w:id="18"/>
    </w:p>
    <w:p w:rsidR="00032A5B" w:rsidRPr="00A35314" w:rsidRDefault="00032A5B" w:rsidP="00032A5B">
      <w:pPr>
        <w:ind w:left="154" w:right="154"/>
      </w:pPr>
      <w:r w:rsidRPr="00A35314">
        <w:t>Soldau rests his case upon decisions of the Court of Claims, . . . rejecting mailing of the acceptance as the crucial event resulting in a contract, in favor of the receipt of the acceptance by the offeror.  No other federal court has agreed. Commentators are also virtually unanimous in rejecting the Court of Claims' repudiation of the "effective when mailed" rule, pointing to the long history of the rule; its importance in creating certainty for contracting parties; its essential soundness, on balance, as a means of allocating the risk during the period between the making of the offer and the communication of the acceptance or rejection to the offeror; and the inadequacy of the rationale offered by the Court of Claims for the change.</w:t>
      </w:r>
      <w:r w:rsidRPr="00A35314">
        <w:br/>
      </w:r>
      <w:bookmarkStart w:id="19" w:name="PAGE_357_1102"/>
      <w:bookmarkEnd w:id="19"/>
    </w:p>
    <w:p w:rsidR="00032A5B" w:rsidRPr="00A35314" w:rsidRDefault="00032A5B" w:rsidP="00032A5B">
      <w:pPr>
        <w:ind w:left="154" w:right="154"/>
      </w:pPr>
      <w:r w:rsidRPr="00A35314">
        <w:t>Since Soldau's contractual obligation to release Organon in return for Organon's obligation to make the enhanced severance payment arose when Soldau deposited his acceptance in the post office mailbox, his subsequent withdrawal of the acceptance was ineffectual.</w:t>
      </w:r>
    </w:p>
    <w:p w:rsidR="00032A5B" w:rsidRPr="00A35314" w:rsidRDefault="00032A5B" w:rsidP="00032A5B">
      <w:pPr>
        <w:ind w:left="154" w:right="154"/>
      </w:pPr>
      <w:r w:rsidRPr="00A35314">
        <w:br/>
      </w:r>
      <w:bookmarkStart w:id="20" w:name="PAGE_6_1292"/>
      <w:bookmarkEnd w:id="20"/>
      <w:r w:rsidRPr="00A35314">
        <w:t>AFFIRMED.</w:t>
      </w:r>
    </w:p>
    <w:p w:rsidR="00032A5B" w:rsidRPr="00E128A8" w:rsidRDefault="00032A5B" w:rsidP="00032A5B">
      <w:pPr>
        <w:pStyle w:val="loose"/>
        <w:ind w:left="225" w:right="225"/>
        <w:jc w:val="center"/>
        <w:rPr>
          <w:sz w:val="20"/>
          <w:szCs w:val="20"/>
        </w:rPr>
      </w:pPr>
      <w:r>
        <w:t xml:space="preserve"> </w:t>
      </w:r>
      <w:r>
        <w:br w:type="page"/>
      </w:r>
      <w:r w:rsidRPr="00E128A8">
        <w:rPr>
          <w:sz w:val="20"/>
          <w:szCs w:val="20"/>
        </w:rPr>
        <w:lastRenderedPageBreak/>
        <w:t xml:space="preserve">JO LAVERNE ALDEN, Appellee v. </w:t>
      </w:r>
      <w:smartTag w:uri="urn:schemas-microsoft-com:office:smarttags" w:element="place">
        <w:smartTag w:uri="urn:schemas-microsoft-com:office:smarttags" w:element="City">
          <w:r w:rsidRPr="00E128A8">
            <w:rPr>
              <w:sz w:val="20"/>
              <w:szCs w:val="20"/>
            </w:rPr>
            <w:t>VERNON</w:t>
          </w:r>
        </w:smartTag>
      </w:smartTag>
      <w:r w:rsidRPr="00E128A8">
        <w:rPr>
          <w:sz w:val="20"/>
          <w:szCs w:val="20"/>
        </w:rPr>
        <w:t xml:space="preserve"> E. PRESLEY, Executor of the Estate of Elvis A. Presley, et al., Appellants</w:t>
      </w:r>
    </w:p>
    <w:p w:rsidR="00032A5B" w:rsidRPr="000D3194" w:rsidRDefault="00032A5B" w:rsidP="00032A5B">
      <w:pPr>
        <w:ind w:left="1200" w:right="1200"/>
        <w:jc w:val="center"/>
        <w:rPr>
          <w:bCs/>
        </w:rPr>
      </w:pPr>
      <w:r w:rsidRPr="000D3194">
        <w:rPr>
          <w:bCs/>
        </w:rPr>
        <w:t>Suprem</w:t>
      </w:r>
      <w:r>
        <w:rPr>
          <w:bCs/>
        </w:rPr>
        <w:t xml:space="preserve">e Court of </w:t>
      </w:r>
      <w:smartTag w:uri="urn:schemas-microsoft-com:office:smarttags" w:element="place">
        <w:smartTag w:uri="urn:schemas-microsoft-com:office:smarttags" w:element="State">
          <w:r>
            <w:rPr>
              <w:bCs/>
            </w:rPr>
            <w:t>Tennessee</w:t>
          </w:r>
        </w:smartTag>
      </w:smartTag>
    </w:p>
    <w:p w:rsidR="00032A5B" w:rsidRPr="000D3194" w:rsidRDefault="00032A5B" w:rsidP="00032A5B">
      <w:pPr>
        <w:rPr>
          <w:bCs/>
        </w:rPr>
      </w:pPr>
    </w:p>
    <w:p w:rsidR="00032A5B" w:rsidRPr="000D3194" w:rsidRDefault="00032A5B" w:rsidP="00032A5B">
      <w:pPr>
        <w:ind w:left="1200" w:right="1200"/>
        <w:jc w:val="center"/>
        <w:rPr>
          <w:bCs/>
        </w:rPr>
      </w:pPr>
      <w:r>
        <w:rPr>
          <w:bCs/>
        </w:rPr>
        <w:t>637 S.W.2d 862</w:t>
      </w:r>
    </w:p>
    <w:p w:rsidR="00032A5B" w:rsidRPr="000D3194" w:rsidRDefault="00032A5B" w:rsidP="00032A5B">
      <w:pPr>
        <w:rPr>
          <w:bCs/>
        </w:rPr>
      </w:pPr>
    </w:p>
    <w:p w:rsidR="00032A5B" w:rsidRPr="000D3194" w:rsidRDefault="00032A5B" w:rsidP="00032A5B">
      <w:pPr>
        <w:ind w:left="1200" w:right="1200"/>
        <w:jc w:val="center"/>
        <w:rPr>
          <w:bCs/>
        </w:rPr>
      </w:pPr>
      <w:smartTag w:uri="urn:schemas-microsoft-com:office:smarttags" w:element="date">
        <w:smartTagPr>
          <w:attr w:name="Year" w:val="1982"/>
          <w:attr w:name="Day" w:val="30"/>
          <w:attr w:name="Month" w:val="8"/>
          <w:attr w:name="ls" w:val="trans"/>
        </w:smartTagPr>
        <w:r w:rsidRPr="000D3194">
          <w:rPr>
            <w:bCs/>
          </w:rPr>
          <w:t>August 30, 1982</w:t>
        </w:r>
      </w:smartTag>
      <w:r w:rsidRPr="000D3194">
        <w:rPr>
          <w:bCs/>
        </w:rPr>
        <w:t xml:space="preserve"> </w:t>
      </w:r>
    </w:p>
    <w:p w:rsidR="00032A5B" w:rsidRPr="000D3194" w:rsidRDefault="00032A5B" w:rsidP="00032A5B">
      <w:pPr>
        <w:rPr>
          <w:bCs/>
        </w:rPr>
      </w:pPr>
    </w:p>
    <w:p w:rsidR="00032A5B" w:rsidRDefault="00032A5B" w:rsidP="00032A5B">
      <w:pPr>
        <w:rPr>
          <w:bCs/>
        </w:rPr>
      </w:pPr>
    </w:p>
    <w:p w:rsidR="00032A5B" w:rsidRDefault="00032A5B" w:rsidP="00032A5B"/>
    <w:p w:rsidR="00032A5B" w:rsidRPr="000D3194" w:rsidRDefault="00032A5B" w:rsidP="00032A5B">
      <w:r w:rsidRPr="000D3194">
        <w:rPr>
          <w:bCs/>
        </w:rPr>
        <w:t xml:space="preserve">JUDGES: </w:t>
      </w:r>
      <w:r w:rsidRPr="000D3194">
        <w:t xml:space="preserve"> Wm. M. D. Fones, J. wrote the opinion. Concur: Harbison, C.J., Cooper, Brock, Drowota, JJ.  </w:t>
      </w:r>
    </w:p>
    <w:p w:rsidR="00032A5B" w:rsidRPr="000D3194" w:rsidRDefault="00032A5B" w:rsidP="00032A5B"/>
    <w:p w:rsidR="00032A5B" w:rsidRDefault="00032A5B" w:rsidP="00032A5B">
      <w:pPr>
        <w:spacing w:before="120"/>
      </w:pPr>
      <w:r>
        <w:t>This is an action against the estate of Elvis Presley to enforce a gratuitous promise to pay off the mortgage on plaintiff's home made by decedent but not consummated prior to his death.</w:t>
      </w:r>
    </w:p>
    <w:p w:rsidR="00032A5B" w:rsidRDefault="00032A5B" w:rsidP="00032A5B">
      <w:pPr>
        <w:spacing w:before="120"/>
      </w:pPr>
      <w:r>
        <w:t>The trial court denied recovery but the Court of Appeals found that plaintiff had relied upon the promise to her detriment and awarded plaintiff judgment on the theory of promissory estoppel.</w:t>
      </w:r>
    </w:p>
    <w:p w:rsidR="00032A5B" w:rsidRDefault="00032A5B" w:rsidP="00032A5B"/>
    <w:p w:rsidR="00032A5B" w:rsidRDefault="00032A5B" w:rsidP="00032A5B">
      <w:r>
        <w:rPr>
          <w:b/>
          <w:bCs/>
        </w:rPr>
        <w:t>I.</w:t>
      </w:r>
    </w:p>
    <w:p w:rsidR="00032A5B" w:rsidRDefault="00032A5B" w:rsidP="00032A5B">
      <w:pPr>
        <w:spacing w:before="120"/>
      </w:pPr>
      <w:r>
        <w:t>Plaintiff alleged that she relied to her detriment on a promise made by the decedent to pay off the mortgage indebtedness on plaintiff's home.  Defendant did not deny a promise was made by decedent but contended that plaintiff's continued reliance upon that promise following decedent's death constituted an unreasonable and unjustified action on her part, and furthermore,  that any damage done to plaintiff occurred as a result of affirmative action taken by her despite her knowledge of decedent's death and with full knowledge that decedent's executor had denied legal liability to fulfill the promise.</w:t>
      </w:r>
    </w:p>
    <w:p w:rsidR="00032A5B" w:rsidRDefault="00032A5B" w:rsidP="00032A5B">
      <w:pPr>
        <w:spacing w:before="120"/>
      </w:pPr>
      <w:r>
        <w:t>Plaintiff, Jo Laverne Alden, is the mother of Ginger Alden, the former girlfriend of the late Elvis Presley.  Presley was a singer of great renown throughout the world and a man of substantial wealth.  In January of 1977, Presley became engaged to Ginger Alden.  He was quite generous to several members of the Alden family including Ginger and her mother, the plaintiff.  Gifts to plaintiff included the funds for landscaping the lawn and installing a swimming pool for the Alden home.  Due to his close relationship with plaintiff's daughter, Presley also became aware of plaintiff's desire to obtain a divorce from her husband.  Presley offered to pay all expenses incurred in the divorce proceeding, including furnishing plaintiff an attorney; to advance plaintiff money to purchase her husband's equity in the Alden home; and to pay off the remaining mortgage indebtedness on the Alden home.</w:t>
      </w:r>
    </w:p>
    <w:p w:rsidR="00032A5B" w:rsidRDefault="00032A5B" w:rsidP="00032A5B">
      <w:pPr>
        <w:spacing w:before="120"/>
      </w:pPr>
      <w:r>
        <w:t xml:space="preserve">As a result of these promises, plaintiff filed for divorce on the grounds of irreconcilable differences. On </w:t>
      </w:r>
      <w:smartTag w:uri="urn:schemas-microsoft-com:office:smarttags" w:element="date">
        <w:smartTagPr>
          <w:attr w:name="Year" w:val="1977"/>
          <w:attr w:name="Day" w:val="1"/>
          <w:attr w:name="Month" w:val="8"/>
          <w:attr w:name="ls" w:val="trans"/>
        </w:smartTagPr>
        <w:r>
          <w:t>August 1, 1977</w:t>
        </w:r>
      </w:smartTag>
      <w:r>
        <w:t>, a property settlement agreement was executed in which plaintiff paid her husband $5,325.00 for his equity in return for a deed conveying all of his interest in the home to plaintiff plus a release of the husband from all further liability upon the mortgage indebtedness on the Alden home.  The mortgage indebtedness at the time of the execution of the settlement agreement was in the sum of $39,587.66, and it is this amount which is the subject of the present suit, all the other gifts and promises to plaintiff having been fulfilled.</w:t>
      </w:r>
    </w:p>
    <w:p w:rsidR="00032A5B" w:rsidRDefault="00032A5B" w:rsidP="00032A5B">
      <w:pPr>
        <w:spacing w:before="120"/>
      </w:pPr>
      <w:r>
        <w:t xml:space="preserve">On </w:t>
      </w:r>
      <w:smartTag w:uri="urn:schemas-microsoft-com:office:smarttags" w:element="date">
        <w:smartTagPr>
          <w:attr w:name="Year" w:val="1977"/>
          <w:attr w:name="Day" w:val="16"/>
          <w:attr w:name="Month" w:val="8"/>
          <w:attr w:name="ls" w:val="trans"/>
        </w:smartTagPr>
        <w:r>
          <w:t>August 16, 1977</w:t>
        </w:r>
      </w:smartTag>
      <w:r>
        <w:t xml:space="preserve">, Presley died suddenly leaving unpaid the mortgage indebtedness on the Alden home.  On </w:t>
      </w:r>
      <w:smartTag w:uri="urn:schemas-microsoft-com:office:smarttags" w:element="date">
        <w:smartTagPr>
          <w:attr w:name="Year" w:val="1977"/>
          <w:attr w:name="Day" w:val="25"/>
          <w:attr w:name="Month" w:val="8"/>
          <w:attr w:name="ls" w:val="trans"/>
        </w:smartTagPr>
        <w:r>
          <w:t>August 25, 1977</w:t>
        </w:r>
      </w:smartTag>
      <w:r>
        <w:t>, Drayton Beecher Smith, II, an attorney for the Presley estate, informed plaintiff that the estate would not assume liability for the mortgage indebtedness.</w:t>
      </w:r>
    </w:p>
    <w:p w:rsidR="00032A5B" w:rsidRDefault="00032A5B" w:rsidP="00032A5B">
      <w:pPr>
        <w:spacing w:before="120"/>
      </w:pPr>
      <w:r>
        <w:t xml:space="preserve">Plaintiff filed the present suit on </w:t>
      </w:r>
      <w:smartTag w:uri="urn:schemas-microsoft-com:office:smarttags" w:element="date">
        <w:smartTagPr>
          <w:attr w:name="Year" w:val="1978"/>
          <w:attr w:name="Day" w:val="14"/>
          <w:attr w:name="Month" w:val="2"/>
          <w:attr w:name="ls" w:val="trans"/>
        </w:smartTagPr>
        <w:r>
          <w:t>February 14, 1978</w:t>
        </w:r>
      </w:smartTag>
      <w:r>
        <w:t xml:space="preserve">, to enforce the promise made by decedent to pay the home mortgage. On </w:t>
      </w:r>
      <w:smartTag w:uri="urn:schemas-microsoft-com:office:smarttags" w:element="date">
        <w:smartTagPr>
          <w:attr w:name="Year" w:val="1978"/>
          <w:attr w:name="Day" w:val="3"/>
          <w:attr w:name="Month" w:val="3"/>
          <w:attr w:name="ls" w:val="trans"/>
        </w:smartTagPr>
        <w:r>
          <w:t>March 3, 1978</w:t>
        </w:r>
      </w:smartTag>
      <w:r>
        <w:t>, Smith informed plaintiff he could no longer represent her in the divorce action since he was serving as an attorney for decedent's estate.  Plaintiff failed to employ new counsel and the divorce action was dismissed for failure to prosecute.</w:t>
      </w:r>
    </w:p>
    <w:p w:rsidR="00032A5B" w:rsidRDefault="00032A5B" w:rsidP="00032A5B">
      <w:pPr>
        <w:spacing w:before="120"/>
      </w:pPr>
      <w:r>
        <w:t xml:space="preserve">Plaintiff re-filed her divorce action in April 1978, upon the same grounds and sought approval of the property settlement agreement executed in August, 1977, in conjunction with the original divorce suit.  The divorce was granted in April, 1980, on the grounds of irreconcilable differences, and the property settlement was approved by the court.  Plaintiff did not disclose to the court in the divorce case that decedent's estate had informed her it was not their intention to pay the mortgage on the Alden home. </w:t>
      </w:r>
    </w:p>
    <w:p w:rsidR="00032A5B" w:rsidRDefault="00032A5B" w:rsidP="00032A5B">
      <w:pPr>
        <w:spacing w:before="120"/>
      </w:pPr>
      <w:r>
        <w:lastRenderedPageBreak/>
        <w:t xml:space="preserve">In the instant case, the trial court held that decedent did make a promise unsupported by consideration to plaintiff, that no gift was consummated for failure of delivery, that plaintiff and her husband suffered no detriment as she "wound up much better off after their association with Elvis A. Presley than either would have been if he had never made any promise to Jo Laverne Alden," and that plaintiff did not rely upon the promise since her divorce petition was filed subsequent to the present suit and subsequent to being told that decedent's estate would not accept legal responsibility for decedent's promise. </w:t>
      </w:r>
    </w:p>
    <w:p w:rsidR="00032A5B" w:rsidRDefault="00032A5B" w:rsidP="00032A5B">
      <w:pPr>
        <w:spacing w:before="120"/>
      </w:pPr>
      <w:r>
        <w:t>The Court of Appeals concurred in the trial court finding that there was no gift for failure of delivery, holding that delivery is not complete unless "complete dominion and control of the gift is surrendered by the donor and acquired by the donee."</w:t>
      </w:r>
    </w:p>
    <w:p w:rsidR="00032A5B" w:rsidRDefault="00032A5B" w:rsidP="00032A5B">
      <w:pPr>
        <w:spacing w:before="120"/>
      </w:pPr>
      <w:r>
        <w:t>However, the Court of Appeals reversed the remainder of the trial court's decision by adopting and applying the doctrine of promissory estoppel holding that plaintiff had foregone remedies available to her in the divorce petition in reliance upon the promise made to her by decedent. The Court of Appeals reasoned the estate should be estopped from dishonoring that promise.</w:t>
      </w:r>
    </w:p>
    <w:p w:rsidR="00032A5B" w:rsidRDefault="00032A5B" w:rsidP="00032A5B">
      <w:pPr>
        <w:spacing w:before="120"/>
      </w:pPr>
      <w:r>
        <w:t xml:space="preserve">We concur in the reasoning of the trial court and Court of Appeals' findings that decedent did not make a gift of the money necessary to pay off the mortgage as there was no actual or constructive delivery.  We find it unnecessary to address the question of whether or not </w:t>
      </w:r>
      <w:smartTag w:uri="urn:schemas-microsoft-com:office:smarttags" w:element="place">
        <w:smartTag w:uri="urn:schemas-microsoft-com:office:smarttags" w:element="State">
          <w:r>
            <w:t>Tennessee</w:t>
          </w:r>
        </w:smartTag>
      </w:smartTag>
      <w:r>
        <w:t xml:space="preserve"> recognizes the doctrine of promissory estoppel because plaintiff has failed, as a matter of law, to prove essential elements of promissory estoppel, to-wit: detrimental reliance, and a loss suffered as a result of detrimental reliance.</w:t>
      </w:r>
    </w:p>
    <w:p w:rsidR="00032A5B" w:rsidRDefault="00032A5B" w:rsidP="00032A5B"/>
    <w:p w:rsidR="00032A5B" w:rsidRDefault="00032A5B" w:rsidP="00032A5B">
      <w:r>
        <w:rPr>
          <w:b/>
          <w:bCs/>
        </w:rPr>
        <w:t>II.</w:t>
      </w:r>
    </w:p>
    <w:p w:rsidR="00032A5B" w:rsidRDefault="00032A5B" w:rsidP="00032A5B">
      <w:pPr>
        <w:spacing w:before="120"/>
      </w:pPr>
      <w:r>
        <w:t xml:space="preserve">The Court of Appeals relied upon definitions of promissory estoppel found in the </w:t>
      </w:r>
      <w:r>
        <w:rPr>
          <w:i/>
          <w:iCs/>
        </w:rPr>
        <w:t>Restatement of Contracts</w:t>
      </w:r>
      <w:r>
        <w:t xml:space="preserve"> and L. Simpson's, </w:t>
      </w:r>
      <w:r>
        <w:rPr>
          <w:i/>
          <w:iCs/>
        </w:rPr>
        <w:t>Law of Contracts</w:t>
      </w:r>
      <w:r>
        <w:t>.  Since these works present representative definitions of promissory estoppel we quote with approval from the Court of Appeals' opinion as follows:</w:t>
      </w:r>
    </w:p>
    <w:p w:rsidR="00032A5B" w:rsidRPr="005B3E7E" w:rsidRDefault="00032A5B" w:rsidP="00032A5B"/>
    <w:p w:rsidR="00032A5B" w:rsidRPr="005B3E7E" w:rsidRDefault="00032A5B" w:rsidP="00032A5B">
      <w:pPr>
        <w:ind w:left="600" w:right="600"/>
      </w:pPr>
      <w:r w:rsidRPr="005B3E7E">
        <w:t xml:space="preserve">"A concise statement concerning promissory estoppel is found in </w:t>
      </w:r>
      <w:r w:rsidRPr="005B3E7E">
        <w:rPr>
          <w:i/>
          <w:iCs/>
        </w:rPr>
        <w:t>Restatement of Contracts</w:t>
      </w:r>
      <w:r w:rsidRPr="005B3E7E">
        <w:t>, Section 90, as follows:</w:t>
      </w:r>
    </w:p>
    <w:p w:rsidR="00032A5B" w:rsidRPr="005B3E7E" w:rsidRDefault="00032A5B" w:rsidP="00032A5B"/>
    <w:p w:rsidR="00032A5B" w:rsidRPr="005B3E7E" w:rsidRDefault="00032A5B" w:rsidP="00032A5B">
      <w:pPr>
        <w:ind w:left="1200" w:right="1200"/>
      </w:pPr>
      <w:r w:rsidRPr="005B3E7E">
        <w:t>'A promise which the promisor should reasonably expect to induce action or forbearance of a definite and substantial character on the part of the promisee and which does induce such action or forbearance is binding if injustice can be avoided only by enforcement of the promise.'</w:t>
      </w:r>
    </w:p>
    <w:p w:rsidR="00032A5B" w:rsidRDefault="00032A5B" w:rsidP="00032A5B">
      <w:pPr>
        <w:spacing w:before="120"/>
        <w:ind w:left="600" w:right="600"/>
      </w:pPr>
      <w:r w:rsidRPr="005B3E7E">
        <w:t xml:space="preserve">A more thorough examination of the doctrine, its elements and limitations is set forth in L. Simpson, </w:t>
      </w:r>
      <w:r w:rsidRPr="005B3E7E">
        <w:rPr>
          <w:i/>
          <w:iCs/>
        </w:rPr>
        <w:t>Law of Contracts</w:t>
      </w:r>
      <w:r w:rsidRPr="005B3E7E">
        <w:t xml:space="preserve"> § 61 (2d ed. 1965); to-wit:</w:t>
      </w:r>
    </w:p>
    <w:p w:rsidR="00593FED" w:rsidRPr="005B3E7E" w:rsidRDefault="00593FED" w:rsidP="00032A5B">
      <w:pPr>
        <w:spacing w:before="120"/>
        <w:ind w:left="600" w:right="600"/>
      </w:pPr>
    </w:p>
    <w:p w:rsidR="00032A5B" w:rsidRPr="005B3E7E" w:rsidRDefault="00032A5B" w:rsidP="00032A5B">
      <w:pPr>
        <w:ind w:left="1200" w:right="1200"/>
      </w:pPr>
      <w:r w:rsidRPr="005B3E7E">
        <w:t>Detrimental action or forbearance by the promisee in reliance on a gratuitous promise, within limits constitutes a substitute for consideration, or a sufficient reason for enforcement of the promise without consideration.  This doctrine is known as promissory estoppel. A promisor who induces substantial change of position by the promisee in reliance on the promise is estopped to deny its enforceability as lacking consideration.  The reason for the doctrine is to avoid an unjust result, and its reason defines its limits.  No injustice results in refusal to enforce a gratuitous promise where the loss suffered in reliance is negligible, nor where the promissee's action in reliance was unreasonable or unjustified by the promise.  The limits of promissory estoppel are: (1) the detriment suffered in reliance must be substantial in an economic sense; (2) the substantial loss to the promisee in acting in reliance must have been foreseeable by the promisor; (3) the promisee must have acted reasonable in justifiable reliance on the promise as made."</w:t>
      </w:r>
    </w:p>
    <w:p w:rsidR="00032A5B" w:rsidRPr="005B3E7E" w:rsidRDefault="00032A5B" w:rsidP="00032A5B"/>
    <w:p w:rsidR="00032A5B" w:rsidRDefault="00032A5B" w:rsidP="00032A5B">
      <w:r>
        <w:rPr>
          <w:b/>
          <w:bCs/>
        </w:rPr>
        <w:t>III.</w:t>
      </w:r>
    </w:p>
    <w:p w:rsidR="00032A5B" w:rsidRDefault="00032A5B" w:rsidP="00032A5B">
      <w:pPr>
        <w:spacing w:before="120"/>
      </w:pPr>
      <w:r>
        <w:t>[omitted]</w:t>
      </w:r>
    </w:p>
    <w:p w:rsidR="00032A5B" w:rsidRDefault="00032A5B" w:rsidP="00032A5B">
      <w:pPr>
        <w:spacing w:before="120"/>
      </w:pPr>
    </w:p>
    <w:p w:rsidR="00032A5B" w:rsidRDefault="00032A5B" w:rsidP="00032A5B">
      <w:r>
        <w:rPr>
          <w:b/>
          <w:bCs/>
        </w:rPr>
        <w:t>IV.</w:t>
      </w:r>
    </w:p>
    <w:p w:rsidR="00032A5B" w:rsidRDefault="00032A5B" w:rsidP="00032A5B">
      <w:pPr>
        <w:spacing w:before="120"/>
      </w:pPr>
      <w:r>
        <w:t>The residence of the Aldens and the mortgage indebtedness thereon was obviously subject to such disposition as alimony, as the circumstances of the parties justified at the time that the divorce was granted, April 1980.</w:t>
      </w:r>
    </w:p>
    <w:p w:rsidR="00032A5B" w:rsidRDefault="00032A5B" w:rsidP="00032A5B">
      <w:pPr>
        <w:spacing w:before="120"/>
      </w:pPr>
      <w:r>
        <w:lastRenderedPageBreak/>
        <w:t>Mrs. Alden did not inform the court that the estate had denied legal responsibility for the mortgage indebtedness, after she had entered into the property settlement agreement, but instead, affirmatively sought approval of the property settlement agreement. Beyond question, she was entitled to relief from that portion of the property settlement agreement wherein she assumed the mortgage indebtedness, upon revealing to the divorce court that she agreed to assume the mortgage only because decedent promised to pay it off gratuitously, but that the estate denied liability subsequent to the execution of the property settlement agreement. She was represented by counsel and must be charged with the knowledge that those facts constituted a change of circumstances that, as a matter of law, entitled her to relief from that portion of the agreement.</w:t>
      </w:r>
    </w:p>
    <w:p w:rsidR="00032A5B" w:rsidRDefault="00032A5B" w:rsidP="00032A5B">
      <w:pPr>
        <w:spacing w:before="120"/>
      </w:pPr>
      <w:r>
        <w:t xml:space="preserve">In this action plaintiff has shown that decedent's promise induced her to assume a $39,587 mortgage as part of a property settlement agreement dated </w:t>
      </w:r>
      <w:smartTag w:uri="urn:schemas-microsoft-com:office:smarttags" w:element="date">
        <w:smartTagPr>
          <w:attr w:name="Year" w:val="1977"/>
          <w:attr w:name="Day" w:val="1"/>
          <w:attr w:name="Month" w:val="8"/>
          <w:attr w:name="ls" w:val="trans"/>
        </w:smartTagPr>
        <w:r>
          <w:t>August 1, 1977</w:t>
        </w:r>
      </w:smartTag>
      <w:r>
        <w:t xml:space="preserve">.  However, the property settlement agreement was not binding upon plaintiff or her husband until approved by the court and the estate's denial of liability for decedent's gratuitous promise before submission of the agreement to the court removed the element of detrimental reliance from the factual scenario of this case.  It follows, plaintiff's reliance on the promise after </w:t>
      </w:r>
      <w:smartTag w:uri="urn:schemas-microsoft-com:office:smarttags" w:element="date">
        <w:smartTagPr>
          <w:attr w:name="Year" w:val="1977"/>
          <w:attr w:name="Day" w:val="25"/>
          <w:attr w:name="Month" w:val="8"/>
          <w:attr w:name="ls" w:val="trans"/>
        </w:smartTagPr>
        <w:r>
          <w:t>August 25, 1977</w:t>
        </w:r>
      </w:smartTag>
      <w:r>
        <w:t>, was not reasonably justified and she suffered no loss as a result of justifiable reliance.</w:t>
      </w:r>
    </w:p>
    <w:p w:rsidR="00032A5B" w:rsidRDefault="00032A5B" w:rsidP="00032A5B">
      <w:pPr>
        <w:spacing w:before="120"/>
      </w:pPr>
      <w:r>
        <w:t>The judgment of the Court of Appeals is reversed and this case is dismissed.</w:t>
      </w:r>
    </w:p>
    <w:p w:rsidR="00032A5B" w:rsidRDefault="00032A5B" w:rsidP="00032A5B">
      <w:pPr>
        <w:ind w:left="300" w:right="300"/>
        <w:jc w:val="center"/>
      </w:pPr>
      <w:r>
        <w:br w:type="page"/>
      </w:r>
      <w:r>
        <w:lastRenderedPageBreak/>
        <w:t>Louisa W. Hamer, Appellant, v. Franklin Sidway, as Executor,</w:t>
      </w:r>
    </w:p>
    <w:p w:rsidR="00032A5B" w:rsidRDefault="00032A5B" w:rsidP="00032A5B">
      <w:pPr>
        <w:ind w:left="300" w:right="300"/>
        <w:jc w:val="center"/>
      </w:pPr>
      <w:r>
        <w:t>etc., Respondent</w:t>
      </w:r>
    </w:p>
    <w:p w:rsidR="00032A5B" w:rsidRDefault="00032A5B" w:rsidP="00032A5B">
      <w:pPr>
        <w:ind w:left="300" w:right="300"/>
        <w:jc w:val="center"/>
      </w:pPr>
    </w:p>
    <w:p w:rsidR="00032A5B" w:rsidRDefault="00032A5B" w:rsidP="00032A5B">
      <w:pPr>
        <w:ind w:left="300" w:right="300"/>
        <w:jc w:val="center"/>
      </w:pPr>
      <w:r>
        <w:t xml:space="preserve">Court of Appeals of </w:t>
      </w:r>
      <w:smartTag w:uri="urn:schemas-microsoft-com:office:smarttags" w:element="place">
        <w:smartTag w:uri="urn:schemas-microsoft-com:office:smarttags" w:element="State">
          <w:r>
            <w:t>New York</w:t>
          </w:r>
        </w:smartTag>
      </w:smartTag>
    </w:p>
    <w:p w:rsidR="00032A5B" w:rsidRDefault="00032A5B" w:rsidP="00032A5B">
      <w:pPr>
        <w:ind w:left="300" w:right="300"/>
        <w:jc w:val="center"/>
      </w:pPr>
    </w:p>
    <w:p w:rsidR="00032A5B" w:rsidRDefault="00032A5B" w:rsidP="00032A5B">
      <w:pPr>
        <w:ind w:left="300" w:right="300"/>
        <w:jc w:val="center"/>
      </w:pPr>
      <w:r>
        <w:t>124 N.Y. 538; 27 N.E. 256</w:t>
      </w:r>
    </w:p>
    <w:p w:rsidR="00032A5B" w:rsidRDefault="00032A5B" w:rsidP="00032A5B">
      <w:pPr>
        <w:ind w:left="300" w:right="300"/>
        <w:jc w:val="center"/>
      </w:pPr>
    </w:p>
    <w:p w:rsidR="00032A5B" w:rsidRDefault="00032A5B" w:rsidP="00032A5B">
      <w:pPr>
        <w:ind w:left="300" w:right="300"/>
        <w:jc w:val="center"/>
      </w:pPr>
      <w:r>
        <w:t xml:space="preserve"> </w:t>
      </w:r>
      <w:smartTag w:uri="urn:schemas-microsoft-com:office:smarttags" w:element="date">
        <w:smartTagPr>
          <w:attr w:name="Month" w:val="4"/>
          <w:attr w:name="Day" w:val="14"/>
          <w:attr w:name="Year" w:val="1891"/>
        </w:smartTagPr>
        <w:smartTag w:uri="urn:schemas-microsoft-com:office:smarttags" w:element="date">
          <w:smartTagPr>
            <w:attr w:name="Year" w:val="18"/>
            <w:attr w:name="Day" w:val="14"/>
            <w:attr w:name="Month" w:val="4"/>
            <w:attr w:name="ls" w:val="trans"/>
          </w:smartTagPr>
          <w:r>
            <w:t>April 14, 18</w:t>
          </w:r>
        </w:smartTag>
        <w:r>
          <w:t>91</w:t>
        </w:r>
      </w:smartTag>
      <w:r>
        <w:t>, Decided</w:t>
      </w:r>
    </w:p>
    <w:p w:rsidR="00032A5B" w:rsidRDefault="00032A5B" w:rsidP="00032A5B">
      <w:pPr>
        <w:jc w:val="both"/>
      </w:pPr>
    </w:p>
    <w:p w:rsidR="00032A5B" w:rsidRDefault="00032A5B" w:rsidP="00032A5B"/>
    <w:p w:rsidR="00032A5B" w:rsidRDefault="00032A5B" w:rsidP="00032A5B">
      <w:r>
        <w:t xml:space="preserve">PRIOR HISTORY:    Appeal from order of the General Term of the Supreme Court in the fourth judicial department, made </w:t>
      </w:r>
      <w:smartTag w:uri="urn:schemas-microsoft-com:office:smarttags" w:element="date">
        <w:smartTagPr>
          <w:attr w:name="Month" w:val="7"/>
          <w:attr w:name="Day" w:val="1"/>
          <w:attr w:name="Year" w:val="1890"/>
        </w:smartTagPr>
        <w:smartTag w:uri="urn:schemas-microsoft-com:office:smarttags" w:element="date">
          <w:smartTagPr>
            <w:attr w:name="Year" w:val="18"/>
            <w:attr w:name="Day" w:val="1"/>
            <w:attr w:name="Month" w:val="7"/>
            <w:attr w:name="ls" w:val="trans"/>
          </w:smartTagPr>
          <w:r>
            <w:t>July 1, 18</w:t>
          </w:r>
        </w:smartTag>
        <w:r>
          <w:t>90</w:t>
        </w:r>
      </w:smartTag>
      <w:r>
        <w:t xml:space="preserve">, which reversed a judgment in favor of plaintiff entered upon a decision of the court on trial at Special Term and granted a new trial. </w:t>
      </w:r>
    </w:p>
    <w:p w:rsidR="00032A5B" w:rsidRDefault="00032A5B" w:rsidP="00032A5B"/>
    <w:p w:rsidR="00032A5B" w:rsidRDefault="00032A5B" w:rsidP="00032A5B">
      <w:r>
        <w:t xml:space="preserve">DISPOSITION:    Order reversed and judgment of Special Term affirmed. </w:t>
      </w:r>
    </w:p>
    <w:p w:rsidR="00032A5B" w:rsidRDefault="00032A5B" w:rsidP="00032A5B"/>
    <w:p w:rsidR="00032A5B" w:rsidRDefault="00032A5B" w:rsidP="00032A5B"/>
    <w:p w:rsidR="00032A5B" w:rsidRDefault="00032A5B" w:rsidP="00032A5B">
      <w:r>
        <w:t xml:space="preserve">SYLLABUS: </w:t>
      </w:r>
    </w:p>
    <w:p w:rsidR="00032A5B" w:rsidRDefault="00032A5B" w:rsidP="00032A5B"/>
    <w:p w:rsidR="00032A5B" w:rsidRDefault="00032A5B" w:rsidP="00032A5B">
      <w:r>
        <w:t>William E. Story, Sr., defendant Sidway's testator, agreed with William E. Story, 2d, his nephew, plaintiff's assignor, that if he would refrain from drinking liquor, using tobacco, swearing and playing cards or billiards for money until he should become twenty-one years of age he would pay him $5,000.  William E. Story, 2d performed his part of the agreement; he became of age in 1875.  Soon thereafter he wrote to William E. Story, Sr., advising him of such performance, stating that the sum specified was due him, and asking payment. William E. Story,</w:t>
      </w:r>
      <w:r w:rsidRPr="001642E1">
        <w:t xml:space="preserve"> </w:t>
      </w:r>
      <w:r>
        <w:t>Sr., replied admitting the agreement and the performance and stating that he had the money in bank, set apart, which he proposed to hold for William E. Story, 2d until the latter was capable of taking care of it.  It was thereupon agreed between the parties that the money should remain in the hands of William E. Story,</w:t>
      </w:r>
      <w:r w:rsidRPr="001642E1">
        <w:t xml:space="preserve"> </w:t>
      </w:r>
      <w:r>
        <w:t xml:space="preserve">Sr., on interest. . .  </w:t>
      </w:r>
    </w:p>
    <w:p w:rsidR="00032A5B" w:rsidRDefault="00032A5B" w:rsidP="00032A5B"/>
    <w:p w:rsidR="00032A5B" w:rsidRDefault="00032A5B" w:rsidP="00032A5B">
      <w:r>
        <w:t xml:space="preserve">It is not essential in order to make out a good consideration for a promise to show that the promisor was benefited or the promisee injured; a waiver on the part of the latter of a legal right is sufficient. </w:t>
      </w:r>
    </w:p>
    <w:p w:rsidR="00032A5B" w:rsidRDefault="00032A5B" w:rsidP="00032A5B">
      <w:r>
        <w:t xml:space="preserve">   </w:t>
      </w:r>
    </w:p>
    <w:p w:rsidR="00032A5B" w:rsidRDefault="00032A5B" w:rsidP="00032A5B">
      <w:r>
        <w:t>William E. Story,</w:t>
      </w:r>
      <w:r w:rsidRPr="001642E1">
        <w:t xml:space="preserve"> </w:t>
      </w:r>
      <w:r>
        <w:t xml:space="preserve">Sr., died in 1887 without having paid any portion of the sum agreed upon. . . .    </w:t>
      </w:r>
    </w:p>
    <w:p w:rsidR="00032A5B" w:rsidRDefault="00032A5B" w:rsidP="00032A5B"/>
    <w:p w:rsidR="00032A5B" w:rsidRDefault="00032A5B" w:rsidP="00032A5B">
      <w:r>
        <w:t xml:space="preserve">The plaintiff [Louisa Hammer] presented a claim to the executor of William E. Story, Sr., for $5,000 and interest from the 6th day of February, 1875.  She acquired it through several mesne assignments from William E. Story, 2d.  [Note: this means that Hammer bought the legal claim from the nephew.]  The claim being rejected by the executor, this action was brought. It appears that William E. Story, Sr., was the uncle of William E. Story, 2d; that at the celebration of the golden wedding of Samuel Story and wife, father and mother of William E. Story, Sr., on the 20th day of March, 1869, in the presence of the family and invited guests he promised his nephew that if he would refrain from drinking, using tobacco, swearing and playing cards or billiards for money until he became twenty-one years of age he would pay him a sum of $5,000.  The nephew assented thereto and fully performed the conditions inducing the promise.  When the nephew arrived at the age of twenty-one years and on the 31st day of January, 1875, he wrote to his uncle informing him that he had performed his part of the agreement and had thereby become entitled to the sum of $5,000.  The uncle received the letter and a few days later and on the sixth of February, he wrote and mailed to his nephew the following letter: </w:t>
      </w:r>
    </w:p>
    <w:p w:rsidR="00032A5B" w:rsidRDefault="00032A5B" w:rsidP="00032A5B"/>
    <w:p w:rsidR="00032A5B" w:rsidRDefault="00032A5B" w:rsidP="00032A5B">
      <w:pPr>
        <w:ind w:left="720"/>
      </w:pPr>
      <w:r>
        <w:t>“</w:t>
      </w:r>
      <w:smartTag w:uri="urn:schemas-microsoft-com:office:smarttags" w:element="place">
        <w:smartTag w:uri="urn:schemas-microsoft-com:office:smarttags" w:element="City">
          <w:r>
            <w:t>Buffalo</w:t>
          </w:r>
        </w:smartTag>
      </w:smartTag>
      <w:r>
        <w:t xml:space="preserve">, </w:t>
      </w:r>
      <w:smartTag w:uri="urn:schemas-microsoft-com:office:smarttags" w:element="date">
        <w:smartTagPr>
          <w:attr w:name="Month" w:val="2"/>
          <w:attr w:name="Day" w:val="6"/>
          <w:attr w:name="Year" w:val="1875"/>
        </w:smartTagPr>
        <w:smartTag w:uri="urn:schemas-microsoft-com:office:smarttags" w:element="date">
          <w:smartTagPr>
            <w:attr w:name="Year" w:val="18"/>
            <w:attr w:name="Day" w:val="6"/>
            <w:attr w:name="Month" w:val="2"/>
            <w:attr w:name="ls" w:val="trans"/>
          </w:smartTagPr>
          <w:r>
            <w:t>Feb. 6, 18</w:t>
          </w:r>
        </w:smartTag>
        <w:r>
          <w:t>75</w:t>
        </w:r>
      </w:smartTag>
    </w:p>
    <w:p w:rsidR="00032A5B" w:rsidRDefault="00032A5B" w:rsidP="00032A5B">
      <w:pPr>
        <w:ind w:left="720"/>
      </w:pPr>
      <w:r>
        <w:t xml:space="preserve">W. E. Story, Jr.: </w:t>
      </w:r>
    </w:p>
    <w:p w:rsidR="00032A5B" w:rsidRDefault="00032A5B" w:rsidP="00032A5B">
      <w:pPr>
        <w:ind w:left="720"/>
      </w:pPr>
    </w:p>
    <w:p w:rsidR="00032A5B" w:rsidRDefault="00032A5B" w:rsidP="00032A5B">
      <w:pPr>
        <w:ind w:left="720"/>
      </w:pPr>
      <w:r>
        <w:t xml:space="preserve">Dear Nephew — Your letter of the 31st ult. came to hand all right, saying that you had lived up to the promise made to me several years ago. I have no doubt but you have, for which you shall have five thousand dollars as I promised you. I had the money in the bank the day you was 21 years old that I intend for you, and you shall have the money certain. Now, Willie I do not intend to interfere with this money in any way till I think you are capable of taking care of it and the sooner that time comes the better it will please me. I would hate very much to have you start out in some adventure that you thought all right and lose this money in one year. . . . </w:t>
      </w:r>
    </w:p>
    <w:p w:rsidR="00032A5B" w:rsidRDefault="00032A5B" w:rsidP="00032A5B">
      <w:pPr>
        <w:ind w:left="720"/>
      </w:pPr>
      <w:r>
        <w:t>Truly Yours,</w:t>
      </w:r>
    </w:p>
    <w:p w:rsidR="00032A5B" w:rsidRDefault="00032A5B" w:rsidP="00032A5B">
      <w:pPr>
        <w:ind w:left="720"/>
      </w:pPr>
      <w:r>
        <w:t xml:space="preserve">W. E. STORY. </w:t>
      </w:r>
    </w:p>
    <w:p w:rsidR="00032A5B" w:rsidRDefault="00032A5B" w:rsidP="00032A5B">
      <w:pPr>
        <w:ind w:left="720"/>
      </w:pPr>
    </w:p>
    <w:p w:rsidR="00032A5B" w:rsidRDefault="00032A5B" w:rsidP="00032A5B">
      <w:pPr>
        <w:ind w:left="720"/>
      </w:pPr>
      <w:r>
        <w:t>P. S. — You can consider this money on interest.”</w:t>
      </w:r>
    </w:p>
    <w:p w:rsidR="00032A5B" w:rsidRDefault="00032A5B" w:rsidP="00032A5B"/>
    <w:p w:rsidR="00032A5B" w:rsidRDefault="00032A5B" w:rsidP="00032A5B">
      <w:pPr>
        <w:jc w:val="both"/>
      </w:pPr>
      <w:r>
        <w:t>The nephew received the letter and thereafter consented that the money should remain with his uncle in accordance with the terms and conditions of the letters. The uncle died on the 29th day of January, 1887, without having paid over to his nephew any portion of the said $5,000 and interest.</w:t>
      </w:r>
    </w:p>
    <w:p w:rsidR="00032A5B" w:rsidRDefault="00032A5B" w:rsidP="00032A5B">
      <w:pPr>
        <w:jc w:val="both"/>
      </w:pPr>
    </w:p>
    <w:p w:rsidR="00032A5B" w:rsidRDefault="00032A5B" w:rsidP="00032A5B">
      <w:pPr>
        <w:jc w:val="both"/>
      </w:pPr>
    </w:p>
    <w:p w:rsidR="00032A5B" w:rsidRDefault="00032A5B" w:rsidP="00032A5B">
      <w:pPr>
        <w:jc w:val="both"/>
      </w:pPr>
      <w:r>
        <w:t>OPINION BY:  PARKER, J</w:t>
      </w:r>
    </w:p>
    <w:p w:rsidR="00032A5B" w:rsidRDefault="00032A5B" w:rsidP="00032A5B">
      <w:pPr>
        <w:jc w:val="both"/>
      </w:pPr>
    </w:p>
    <w:p w:rsidR="00032A5B" w:rsidRDefault="00032A5B" w:rsidP="00032A5B">
      <w:pPr>
        <w:jc w:val="both"/>
      </w:pPr>
      <w:r>
        <w:t>The question which provoked the most discussion by counsel on this appeal, and which lies at the foundation of plaintiff's asserted right of recovery, is whether by virtue of a contract defendant's testator William E. Story became indebted to his nephew William E. Story, 2d, on his twenty-first birthday in the sum of five thousand dollars.  The trial court found as a fact that "on the 20th day of March, 1869, William E. Story agreed to and with William E. Story, 2d, that if he would refrain from drinking liquor, using tobacco, swearing, and playing cards or billiards for money until he should become 21 years of age then he, the said William E. Story, would at that time pay him, the said William E. Story, 2d, the sum of $5,000 for such refraining, to which the said William E. Story, 2d, agreed," and that he "in all things fully performed his part of said agreement."</w:t>
      </w:r>
    </w:p>
    <w:p w:rsidR="00032A5B" w:rsidRDefault="00032A5B" w:rsidP="00032A5B">
      <w:pPr>
        <w:jc w:val="both"/>
      </w:pPr>
    </w:p>
    <w:p w:rsidR="00032A5B" w:rsidRDefault="00032A5B" w:rsidP="00032A5B">
      <w:pPr>
        <w:jc w:val="both"/>
      </w:pPr>
      <w:r>
        <w:t xml:space="preserve">The defendant contends that the contract was without consideration to support it, and, therefore, invalid.  He asserts that the promisee by refraining from the use of liquor and tobacco was not harmed but benefited; that that which he did was best for him to do independently of his uncle's promise, and insists that it follows that unless the promisor was benefited, the contract was without consideration.  A contention, which if well founded, would seem to leave open for controversy in many cases whether that which the promisee did or omitted to do was, in fact, of such benefit to him as to leave no consideration to support  the enforcement of the promisor's agreement.  Such a rule could not be tolerated, and is without foundation in the law. . . . . Courts "will not ask whether the thing which forms the consideration does in fact benefit the promisee or a third party, or is of any substantial value to anyone.  It is enough that something is promised, done, forborne or suffered by the party to whom the promise is made as consideration for the promise made to him." (Anson's Prin. of Con. 63.) </w:t>
      </w:r>
    </w:p>
    <w:p w:rsidR="00032A5B" w:rsidRDefault="00032A5B" w:rsidP="00032A5B">
      <w:pPr>
        <w:jc w:val="both"/>
      </w:pPr>
    </w:p>
    <w:p w:rsidR="00032A5B" w:rsidRDefault="00032A5B" w:rsidP="00032A5B">
      <w:pPr>
        <w:jc w:val="both"/>
      </w:pPr>
      <w:r>
        <w:t xml:space="preserve">. . . . Now, applying this rule to the facts before us, the promisee used tobacco, occasionally drank liquor, and he had a legal right to do so.  That right he abandoned for a period of years upon the strength of the promise of  the testator that for such forbearance he would give him $5,000.  We need not speculate on the effort which may have been required to give up the use of those stimulants.  It is sufficient that he restricted his lawful freedom of action within certain prescribed limits upon the faith of his uncle's agreement, and now having fully performed the conditions imposed, it is of no moment whether such performance actually proved a benefit to the promisor, and the court will not inquire into it, but were it a proper subject of inquiry, we see nothing in this record that would permit a determination that the uncle was not benefited in a legal sense.  Few cases have been found which may be said to be precisely in point, but such as have been support the position we have taken.  </w:t>
      </w:r>
    </w:p>
    <w:p w:rsidR="00032A5B" w:rsidRDefault="00032A5B" w:rsidP="00032A5B">
      <w:pPr>
        <w:jc w:val="both"/>
      </w:pPr>
    </w:p>
    <w:p w:rsidR="00032A5B" w:rsidRDefault="00032A5B" w:rsidP="00032A5B">
      <w:pPr>
        <w:jc w:val="both"/>
      </w:pPr>
      <w:r>
        <w:t xml:space="preserve">In </w:t>
      </w:r>
      <w:r w:rsidRPr="004F7A9E">
        <w:rPr>
          <w:i/>
        </w:rPr>
        <w:t>Shadwell v. Shadwell</w:t>
      </w:r>
      <w:r>
        <w:t xml:space="preserve"> </w:t>
      </w:r>
      <w:r w:rsidRPr="004F7A9E">
        <w:t>(9 C. B. [N. S.] 159)</w:t>
      </w:r>
      <w:r>
        <w:rPr>
          <w:i/>
        </w:rPr>
        <w:t>,</w:t>
      </w:r>
      <w:r>
        <w:t xml:space="preserve"> an uncle wrote to his nephew as follows:  </w:t>
      </w:r>
    </w:p>
    <w:p w:rsidR="00032A5B" w:rsidRDefault="00032A5B" w:rsidP="00032A5B">
      <w:pPr>
        <w:jc w:val="both"/>
      </w:pPr>
    </w:p>
    <w:p w:rsidR="00032A5B" w:rsidRDefault="00032A5B" w:rsidP="00032A5B">
      <w:pPr>
        <w:jc w:val="both"/>
      </w:pPr>
      <w:r>
        <w:t xml:space="preserve">   "My Dear Lancey — I am so glad to hear of your intended marriage with Ellen Nicholl, and as I promised to assist you at starting, I am happy to tell you that I will pay to you 150 pounds yearly during my life and until your annual income derived from your profession of a chancery barrister shall amount to 600 guineas, of which your own admission will be the only evidence that I shall require.  </w:t>
      </w:r>
    </w:p>
    <w:p w:rsidR="00032A5B" w:rsidRDefault="00032A5B" w:rsidP="00032A5B">
      <w:pPr>
        <w:jc w:val="both"/>
      </w:pPr>
      <w:r>
        <w:t xml:space="preserve">   "Your affectionate uncle,  </w:t>
      </w:r>
    </w:p>
    <w:p w:rsidR="00032A5B" w:rsidRDefault="00032A5B" w:rsidP="00032A5B">
      <w:pPr>
        <w:jc w:val="both"/>
      </w:pPr>
      <w:r>
        <w:t xml:space="preserve">   "CHARLES SHADWELL."  </w:t>
      </w:r>
    </w:p>
    <w:p w:rsidR="00032A5B" w:rsidRDefault="00032A5B" w:rsidP="00032A5B">
      <w:pPr>
        <w:jc w:val="both"/>
      </w:pPr>
    </w:p>
    <w:p w:rsidR="00032A5B" w:rsidRDefault="00032A5B" w:rsidP="00032A5B">
      <w:pPr>
        <w:jc w:val="both"/>
      </w:pPr>
      <w:r>
        <w:t xml:space="preserve">It was held that the promise was binding and made upon good consideration.  </w:t>
      </w:r>
    </w:p>
    <w:p w:rsidR="00032A5B" w:rsidRDefault="00032A5B" w:rsidP="00032A5B">
      <w:pPr>
        <w:jc w:val="both"/>
      </w:pPr>
    </w:p>
    <w:p w:rsidR="00032A5B" w:rsidRDefault="00032A5B" w:rsidP="00032A5B">
      <w:pPr>
        <w:jc w:val="both"/>
      </w:pPr>
      <w:r>
        <w:t xml:space="preserve">In </w:t>
      </w:r>
      <w:r w:rsidRPr="004F7A9E">
        <w:rPr>
          <w:i/>
        </w:rPr>
        <w:t>Lakota v. Newton</w:t>
      </w:r>
      <w:r>
        <w:t>, an unreported case in the Superior Court of Worcester, Mass., the complaint averred defendant's promise that "if you (meaning plaintiff) will leave off drinking for a year I will give you $100," plaintiff's assent thereto, performance of the condition by him, and demanded jud</w:t>
      </w:r>
      <w:r w:rsidR="003B7C0A">
        <w:t>g</w:t>
      </w:r>
      <w:r>
        <w:t xml:space="preserve">ment therefor.  Defendant demurred on the ground, among others, that the plaintiff's declaration did not allege a valid and sufficient consideration for the agreement of the defendant.  The demurrer was overruled.  </w:t>
      </w:r>
    </w:p>
    <w:p w:rsidR="00032A5B" w:rsidRDefault="00032A5B" w:rsidP="00032A5B">
      <w:pPr>
        <w:jc w:val="both"/>
      </w:pPr>
    </w:p>
    <w:p w:rsidR="00032A5B" w:rsidRPr="004F7A9E" w:rsidRDefault="00032A5B" w:rsidP="00032A5B">
      <w:pPr>
        <w:jc w:val="both"/>
      </w:pPr>
      <w:r>
        <w:lastRenderedPageBreak/>
        <w:t xml:space="preserve">In </w:t>
      </w:r>
      <w:r w:rsidRPr="004F7A9E">
        <w:rPr>
          <w:i/>
        </w:rPr>
        <w:t>Talbott v. Stemmons</w:t>
      </w:r>
      <w:r>
        <w:t xml:space="preserve"> (a Kentucky case not yet reported), the step-grandmother of the plaintiff made with him the following agreement: "I do promise and bind myself to give my grandson, Albert R. Talbott, $500 at my death, if he will never take another chew of tobacco or smoke another cigar during my life from this date up to my death, and if he breaks this pledge he is to refund double the amount to his mother." The executor of Mrs. Stemmons demurred to the complaint on the ground that the agreement was not based on a sufficient consideration.  The demurrer was sustained and an appeal taken therefrom to the Court of Appeals, where the decision of the court below was reversed.  In the opinion of the court it is said that "the right to use and enjoy the use of tobacco was a right that belonged to the plaintiff and not forbidden by law.  The abandonment of its use may have saved him money or contributed to his health, nevertheless, the surrender of that right caused the promise, and having the right to contract with reference to the subject-matter, the abandonment of the use was a sufficient consideration to uphold the promise."  Abstinence from the use of intoxicating liquors was held to furnish a good consideration for a promissory note in </w:t>
      </w:r>
      <w:r>
        <w:rPr>
          <w:i/>
        </w:rPr>
        <w:t>Lindell v. Rokes</w:t>
      </w:r>
      <w:r w:rsidRPr="004F7A9E">
        <w:t xml:space="preserve"> (60 Mo. 249).  </w:t>
      </w:r>
    </w:p>
    <w:p w:rsidR="00032A5B" w:rsidRDefault="00032A5B" w:rsidP="00032A5B">
      <w:pPr>
        <w:jc w:val="both"/>
      </w:pPr>
    </w:p>
    <w:p w:rsidR="00032A5B" w:rsidRDefault="00032A5B" w:rsidP="00032A5B">
      <w:r>
        <w:t>. . . . In further consideration of the questions presented, then, it must be deemed established for the purposes of this appeal, that on the 31st day of January, 1875, defendant's testator was indebted to William E. Story, 2d, in the sum of $5,000.</w:t>
      </w:r>
    </w:p>
    <w:p w:rsidR="00032A5B" w:rsidRDefault="00032A5B" w:rsidP="00032A5B"/>
    <w:p w:rsidR="00032A5B" w:rsidRDefault="00032A5B" w:rsidP="00032A5B">
      <w:r>
        <w:t>The order appealed from should be reversed and the judgment of the Special Term affirmed, with costs payable out of the estate.</w:t>
      </w:r>
    </w:p>
    <w:p w:rsidR="00032A5B" w:rsidRDefault="00032A5B" w:rsidP="00032A5B">
      <w:pPr>
        <w:jc w:val="both"/>
      </w:pPr>
    </w:p>
    <w:p w:rsidR="003B7C0A" w:rsidRPr="005E6421" w:rsidRDefault="00032A5B" w:rsidP="003B7C0A">
      <w:pPr>
        <w:ind w:left="1200" w:right="1200"/>
        <w:jc w:val="center"/>
        <w:rPr>
          <w:bCs/>
          <w:color w:val="000000" w:themeColor="text1"/>
        </w:rPr>
      </w:pPr>
      <w:r>
        <w:rPr>
          <w:sz w:val="32"/>
        </w:rPr>
        <w:br w:type="page"/>
      </w:r>
      <w:r w:rsidR="003B7C0A" w:rsidRPr="005E6421">
        <w:rPr>
          <w:bCs/>
          <w:color w:val="000000" w:themeColor="text1"/>
        </w:rPr>
        <w:lastRenderedPageBreak/>
        <w:t>LESTER COOPER, Plaintiff-Appellant, v. JULIE SMITH, et al., Defendants-Appellees.</w:t>
      </w:r>
    </w:p>
    <w:p w:rsidR="003B7C0A" w:rsidRPr="005E6421" w:rsidRDefault="003B7C0A" w:rsidP="003B7C0A">
      <w:pPr>
        <w:rPr>
          <w:bCs/>
          <w:color w:val="000000" w:themeColor="text1"/>
        </w:rPr>
      </w:pPr>
    </w:p>
    <w:p w:rsidR="003B7C0A" w:rsidRPr="005E6421" w:rsidRDefault="00170033" w:rsidP="003B7C0A">
      <w:pPr>
        <w:ind w:left="1200" w:right="1200"/>
        <w:jc w:val="center"/>
        <w:rPr>
          <w:bCs/>
          <w:color w:val="000000" w:themeColor="text1"/>
        </w:rPr>
      </w:pPr>
      <w:r>
        <w:rPr>
          <w:bCs/>
          <w:color w:val="000000" w:themeColor="text1"/>
        </w:rPr>
        <w:t>Court o</w:t>
      </w:r>
      <w:r w:rsidRPr="005E6421">
        <w:rPr>
          <w:bCs/>
          <w:color w:val="000000" w:themeColor="text1"/>
        </w:rPr>
        <w:t xml:space="preserve">f Appeals </w:t>
      </w:r>
      <w:r>
        <w:rPr>
          <w:bCs/>
          <w:color w:val="000000" w:themeColor="text1"/>
        </w:rPr>
        <w:t>o</w:t>
      </w:r>
      <w:r w:rsidRPr="005E6421">
        <w:rPr>
          <w:bCs/>
          <w:color w:val="000000" w:themeColor="text1"/>
        </w:rPr>
        <w:t>f Ohio, Fourth Appellate District, Lawrence County</w:t>
      </w:r>
    </w:p>
    <w:p w:rsidR="003B7C0A" w:rsidRPr="005E6421" w:rsidRDefault="003B7C0A" w:rsidP="003B7C0A">
      <w:pPr>
        <w:rPr>
          <w:bCs/>
          <w:color w:val="000000" w:themeColor="text1"/>
        </w:rPr>
      </w:pPr>
    </w:p>
    <w:p w:rsidR="003B7C0A" w:rsidRPr="005E6421" w:rsidRDefault="003B7C0A" w:rsidP="003B7C0A">
      <w:pPr>
        <w:ind w:left="1200" w:right="1200"/>
        <w:jc w:val="center"/>
        <w:rPr>
          <w:bCs/>
          <w:color w:val="000000" w:themeColor="text1"/>
        </w:rPr>
      </w:pPr>
      <w:r w:rsidRPr="005E6421">
        <w:rPr>
          <w:bCs/>
          <w:color w:val="000000" w:themeColor="text1"/>
        </w:rPr>
        <w:t>155 Ohio App. 3d 218</w:t>
      </w:r>
    </w:p>
    <w:p w:rsidR="003B7C0A" w:rsidRPr="005E6421" w:rsidRDefault="003B7C0A" w:rsidP="003B7C0A">
      <w:pPr>
        <w:rPr>
          <w:bCs/>
          <w:color w:val="000000" w:themeColor="text1"/>
        </w:rPr>
      </w:pPr>
    </w:p>
    <w:p w:rsidR="003B7C0A" w:rsidRPr="005E6421" w:rsidRDefault="003B7C0A" w:rsidP="003B7C0A">
      <w:pPr>
        <w:ind w:left="1200" w:right="1200"/>
        <w:jc w:val="center"/>
        <w:rPr>
          <w:bCs/>
          <w:color w:val="000000" w:themeColor="text1"/>
        </w:rPr>
      </w:pPr>
      <w:r w:rsidRPr="005E6421">
        <w:rPr>
          <w:bCs/>
          <w:color w:val="000000" w:themeColor="text1"/>
        </w:rPr>
        <w:t xml:space="preserve">November 7, 2003 </w:t>
      </w:r>
    </w:p>
    <w:p w:rsidR="003B7C0A" w:rsidRPr="005E6421" w:rsidRDefault="003B7C0A" w:rsidP="003B7C0A">
      <w:pPr>
        <w:rPr>
          <w:bCs/>
          <w:color w:val="000000" w:themeColor="text1"/>
        </w:rPr>
      </w:pPr>
    </w:p>
    <w:p w:rsidR="003B7C0A" w:rsidRPr="005E6421" w:rsidRDefault="003B7C0A" w:rsidP="003B7C0A">
      <w:pPr>
        <w:rPr>
          <w:color w:val="000000" w:themeColor="text1"/>
        </w:rPr>
      </w:pPr>
    </w:p>
    <w:p w:rsidR="003B7C0A" w:rsidRPr="005E6421" w:rsidRDefault="003B7C0A" w:rsidP="003B7C0A">
      <w:r w:rsidRPr="005E6421">
        <w:rPr>
          <w:bCs/>
        </w:rPr>
        <w:t xml:space="preserve">JUDGES: </w:t>
      </w:r>
      <w:r>
        <w:rPr>
          <w:bCs/>
        </w:rPr>
        <w:t xml:space="preserve">   </w:t>
      </w:r>
      <w:r w:rsidRPr="005E6421">
        <w:t xml:space="preserve">Abele, J. &amp; Kline, J.: </w:t>
      </w:r>
      <w:r>
        <w:t>Concur in Judgment and Opinion</w:t>
      </w:r>
    </w:p>
    <w:p w:rsidR="003B7C0A" w:rsidRDefault="003B7C0A" w:rsidP="003B7C0A">
      <w:pPr>
        <w:rPr>
          <w:bCs/>
        </w:rPr>
      </w:pPr>
    </w:p>
    <w:p w:rsidR="003B7C0A" w:rsidRPr="005E6421" w:rsidRDefault="003B7C0A" w:rsidP="003B7C0A">
      <w:r w:rsidRPr="005E6421">
        <w:rPr>
          <w:bCs/>
        </w:rPr>
        <w:t xml:space="preserve">OPINION BY: </w:t>
      </w:r>
      <w:r>
        <w:rPr>
          <w:bCs/>
        </w:rPr>
        <w:t xml:space="preserve">  </w:t>
      </w:r>
      <w:r w:rsidRPr="005E6421">
        <w:t>William H. Harsha</w:t>
      </w:r>
      <w:r>
        <w:t>, J</w:t>
      </w:r>
    </w:p>
    <w:p w:rsidR="003B7C0A" w:rsidRDefault="003B7C0A" w:rsidP="003B7C0A">
      <w:pPr>
        <w:spacing w:before="120"/>
        <w:rPr>
          <w:i/>
          <w:iCs/>
        </w:rPr>
      </w:pPr>
    </w:p>
    <w:p w:rsidR="003B7C0A" w:rsidRPr="005E6421" w:rsidRDefault="003B7C0A" w:rsidP="003B7C0A">
      <w:pPr>
        <w:spacing w:before="120"/>
      </w:pPr>
      <w:r w:rsidRPr="005E6421">
        <w:rPr>
          <w:i/>
          <w:iCs/>
        </w:rPr>
        <w:t>DECISION AND JUDGMENT ENTRY</w:t>
      </w:r>
    </w:p>
    <w:p w:rsidR="003B7C0A" w:rsidRDefault="003B7C0A" w:rsidP="003B7C0A">
      <w:pPr>
        <w:spacing w:before="120"/>
      </w:pPr>
      <w:r w:rsidRPr="005E6421">
        <w:t xml:space="preserve">Lester Cooper appeals a judgment of the Lawrence County Common Pleas Court dismissing his complaint, which sought reimbursement for gifts he had given to his ex-fiancee, Julie Smith, and her mother, Janet Smith. Cooper contends the gifts he gave to Julie were given in contemplation of marriage and should be returned to him now that the engagement has ended. In addition, he contends the gifts he gave to Janet should be returned to him under a theory of </w:t>
      </w:r>
      <w:r>
        <w:t>unjust enrichment. With the exception of the engagement ring, the gifts Cooper gave to Julie were irrevocable inter vivos gifts. Thus, he is not entitled to their return. Moreover, because enrichment of the donee is the intended purpose of a gift, there is nothing "unjust" about allowing Janet to retain the gifts she received from Cooper in the absence of fraud, overreaching or some other circumstance. Accordingly, the judgment of the trial court is affirmed.</w:t>
      </w:r>
    </w:p>
    <w:p w:rsidR="003B7C0A" w:rsidRDefault="003B7C0A" w:rsidP="003B7C0A">
      <w:pPr>
        <w:spacing w:before="120"/>
      </w:pPr>
      <w:r>
        <w:t>In May 2001, Cooper suffered serious injury that caused him to be hospitalized for an extended period of time. While he was hospitalized, Julie, who Cooper had met the year before, and Janet made numerous trips to visit him. Although Julie was legally married to another man at the time, a romantic relationship developed between Cooper and Julie. While still in the hospital, Cooper proposed to Julie and she accepted, indicating that she would marry him</w:t>
      </w:r>
      <w:r>
        <w:rPr>
          <w:b/>
          <w:bCs/>
        </w:rPr>
        <w:t xml:space="preserve"> </w:t>
      </w:r>
      <w:r>
        <w:t xml:space="preserve">after she divorced her husband. Although Julie obtained a divorce from her husband in October 2001, she and Cooper did not marry. </w:t>
      </w:r>
    </w:p>
    <w:p w:rsidR="003B7C0A" w:rsidRDefault="003B7C0A" w:rsidP="003B7C0A">
      <w:pPr>
        <w:spacing w:before="120"/>
      </w:pPr>
      <w:r>
        <w:t xml:space="preserve">Cooper ultimately received an $180,000 settlement for his injuries. After being released from the hospital, Cooper moved in with Janet and Julie. Over the next couple of months, Cooper purchased a number of items for Julie, including a diamond engagement ring, a car, a computer, a tanning bed, and horses. Cooper also paid off Janet's car loan and made various improvements to her house, such as having a new furnace installed and having wood flooring laid in the kitchen. By December 2001, the settlement money had run out. </w:t>
      </w:r>
    </w:p>
    <w:p w:rsidR="003B7C0A" w:rsidRDefault="003B7C0A" w:rsidP="003B7C0A">
      <w:pPr>
        <w:spacing w:before="120"/>
      </w:pPr>
      <w:r>
        <w:t>In June 2002, an incident occurred between Janet and Cooper and he moved out of the house. However, he and Julie continued their relationship. One month after moving out, Cooper informed Julie that he intended to sue Janet to recover the money he had invested in her house. Julie responded by telling Cooper that she could not be with him if he sued her mother. That same month, Cooper filed suit against both Julie and Janet.</w:t>
      </w:r>
    </w:p>
    <w:p w:rsidR="003B7C0A" w:rsidRDefault="003B7C0A" w:rsidP="003B7C0A">
      <w:pPr>
        <w:spacing w:before="120"/>
      </w:pPr>
      <w:r>
        <w:t>In December 2002, Cooper's case proceeded to trial before the magistrate. At trial, Cooper testified that the gifts he gave to Julie were given in contemplation of marriage. He also attempted to show that the gifts he gave to Janet, including the improvements to her house, were conditional gifts. He indicated that he paid off Janet's car loan so that when the settlement money ran out, they could live on the money that was previously being used for the monthly car payment. He also indicated that he paid for the improvements to Janet's house because he believed he would be living there in the future.</w:t>
      </w:r>
    </w:p>
    <w:p w:rsidR="003B7C0A" w:rsidRDefault="003B7C0A" w:rsidP="003B7C0A">
      <w:pPr>
        <w:spacing w:before="120"/>
      </w:pPr>
      <w:r>
        <w:t>At the conclusion of Cooper's case, appellees moved to dismiss his complaint. The magistrate granted the motion, concluding that even if Cooper's evidence was viewed in the most favorable light, appellees were entitled to dismissal. The magistrate concluded that the gifts Cooper gave to Julie were not given in contemplation of marriage since Julie was legally married to another man at the time. The magistrate further found that even if the gifts were given in contemplation of marriage, Cooper was not entitled to their return because he unjustifiably broke the engagement. With respect to the gifts Cooper gave Janet, the magistrate found that there was no evidence that the gifts were given on any condition. Rather, the magistrate concluded that the gifts were final and could not be recovered since "a gift is an unearned enrichment that cannot be converted into an unjust enrichment."</w:t>
      </w:r>
    </w:p>
    <w:p w:rsidR="003B7C0A" w:rsidRDefault="003B7C0A" w:rsidP="003B7C0A">
      <w:pPr>
        <w:spacing w:before="120"/>
      </w:pPr>
      <w:r>
        <w:t xml:space="preserve">After the magistrate filed his decision recommending that Cooper's complaint be dismissed, Cooper filed objections. In March 2003, the trial court overruled Cooper's objections to the magistrate's decision and entered a judgment dismissing Cooper's complaint. Cooper now appeals. . . </w:t>
      </w:r>
    </w:p>
    <w:p w:rsidR="003B7C0A" w:rsidRDefault="003B7C0A" w:rsidP="003B7C0A">
      <w:pPr>
        <w:spacing w:before="120"/>
      </w:pPr>
      <w:r>
        <w:lastRenderedPageBreak/>
        <w:t>. . . .</w:t>
      </w:r>
      <w:r w:rsidR="00170033">
        <w:t xml:space="preserve">  </w:t>
      </w:r>
      <w:r>
        <w:t>Cooper contends the court erred in concluding he did not state a claim for recovery under a theory of gifts in contemplation of marriage. Acknowledging that the Ohio appellate districts are split on the issue, Cooper urges us to adopt a "no-fault" rule regarding gifts in contemplation of marriage. Under such a rule, gifts given in contemplation of marriage are returned to the donor if the marriage does not occur, regardless of who is at fault in ending the engagement. Julie, on the other hand, urges us to adopt a fault-based rule regarding gifts in contemplation of marriage. She contends Cooper should not recover the gifts he gave her because he unjustifiably broke the engagement by suing her mother.</w:t>
      </w:r>
    </w:p>
    <w:p w:rsidR="003B7C0A" w:rsidRDefault="003B7C0A" w:rsidP="003B7C0A">
      <w:pPr>
        <w:spacing w:before="120"/>
      </w:pPr>
      <w:r>
        <w:t>The term "gifts in contemplation of marriage" refers to gifts made during</w:t>
      </w:r>
      <w:r>
        <w:rPr>
          <w:b/>
          <w:bCs/>
        </w:rPr>
        <w:t xml:space="preserve"> </w:t>
      </w:r>
      <w:r>
        <w:t xml:space="preserve">the engagement period, following the couple's agreement to marry. . . .  Gifts in contemplation of marriage become problematic when the marriage does not occur. If a donor gives gifts in contemplation of marriage and the marriage does not occur, is the donor entitled to recover the gifts? If the donor is entitled to recover the gifts, is that right absolute or is it subject to limitations? </w:t>
      </w:r>
    </w:p>
    <w:p w:rsidR="003B7C0A" w:rsidRDefault="003B7C0A" w:rsidP="003B7C0A">
      <w:pPr>
        <w:spacing w:before="120"/>
      </w:pPr>
      <w:r>
        <w:t xml:space="preserve">The majority of cases addressing gifts in contemplation of marriage deal exclusively with engagement rings. However, our research has uncovered some cases, including two from Ohio, that address gifts other than engagement rings. After reviewing the cases from Ohio and elsewhere, we have identified </w:t>
      </w:r>
      <w:r w:rsidR="00170033">
        <w:t xml:space="preserve">[several] </w:t>
      </w:r>
      <w:r>
        <w:t xml:space="preserve">possible approaches to the present issue. </w:t>
      </w:r>
      <w:r w:rsidR="00170033">
        <w:t xml:space="preserve">. . . </w:t>
      </w:r>
    </w:p>
    <w:p w:rsidR="003B7C0A" w:rsidRDefault="003B7C0A" w:rsidP="003B7C0A">
      <w:pPr>
        <w:spacing w:before="120"/>
      </w:pPr>
      <w:r>
        <w:t>The second approach treats all gifts exchanged during the engagement period as irrevocable inter vivos gifts. . . . This approach adheres to general gift law, which provides that an inter vivos gift is irrevocable once complete. Courts adopting this approach refuse to imply a condition on the gifts simply because they were given during the engagement period.</w:t>
      </w:r>
    </w:p>
    <w:p w:rsidR="003B7C0A" w:rsidRDefault="003B7C0A" w:rsidP="003B7C0A">
      <w:pPr>
        <w:spacing w:before="120"/>
      </w:pPr>
      <w:r>
        <w:t>This approach is easy to apply and encourages a donor to think twice before giving extravagant gifts. Moreover it does not allow a donor to recover/revoke a gift simply because he or she later regrets having given it. However, without an exception for fraud, this approach works an injustice on unsuspecting donors who are deceived by wily donees. Moreover, the variation on this approach attempts to apply logical reasoning to an emotional situation. During the engagement period, the donor is focused upon the romantic nature of the relationship and is not likely to consider the possibility that the marriage may not occur. Thus, a donor only rarely thinks about putting a condition on the gifts he or she gives.</w:t>
      </w:r>
    </w:p>
    <w:p w:rsidR="003B7C0A" w:rsidRDefault="003B7C0A" w:rsidP="003B7C0A">
      <w:pPr>
        <w:spacing w:before="120"/>
      </w:pPr>
      <w:r>
        <w:t xml:space="preserve">The third approach treats the engagement ring as a conditional gift but treats all other gifts as irrevocable inter vivos gifts unless they were expressly conditioned on the subsequent marriage. This approach recognizes that an engagement ring symbolizes the couple's promise to marry. Because of that symbolic significance, it implies a condition with respect to the engagement ring only. </w:t>
      </w:r>
      <w:r w:rsidR="00170033">
        <w:t xml:space="preserve">. . . </w:t>
      </w:r>
      <w:r>
        <w:t xml:space="preserve"> Thus, it implies a condition to the gift of the engagement ring. However, this approach recognizes that the other gifts lack the symbolic significance of the engagement ring. It recognizes that gifts other than the engagement ring are "only a token of the love and affection which [the donor] bore for the [donee]." It refuses to allow the donor to recover the gift simply because he or she later regrets having given it. Thus, it applies general gift law and treats the other gifts as irrevocable inter vivos gifts unless they were expressly conditioned on the subsequent marriage. </w:t>
      </w:r>
    </w:p>
    <w:p w:rsidR="003B7C0A" w:rsidRDefault="003B7C0A" w:rsidP="003B7C0A">
      <w:pPr>
        <w:spacing w:before="120"/>
      </w:pPr>
      <w:r>
        <w:t xml:space="preserve">Both </w:t>
      </w:r>
      <w:r w:rsidR="00170033">
        <w:t xml:space="preserve">. . .  </w:t>
      </w:r>
      <w:r>
        <w:t>approaches generally allow recovery based on a conditional gift theory, although the fault-based approach contains limitations on recovery. Under both approaches, courts will imply a condition on the gifts because of the nature of the engagement period or, in the case of engagement rings, the nature of the gift. Although the fault-based approach used to be the majority position, the modern trend le</w:t>
      </w:r>
      <w:r w:rsidR="00170033">
        <w:t>ans toward a no-fault approach.</w:t>
      </w:r>
    </w:p>
    <w:p w:rsidR="003B7C0A" w:rsidRDefault="003B7C0A" w:rsidP="003B7C0A">
      <w:pPr>
        <w:spacing w:before="120"/>
      </w:pPr>
      <w:r>
        <w:t xml:space="preserve">The fault-based approach permits the donor to recover the gifts unless he or she unjustifiably broke the engagement. This approach appeals to society's sense of justice, especially in those situations where the donor has truly "wronged" the donee. This approach also recognizes that if the donor had kept the promise, the gifts would belong to the donee. Thus, it attempts to prevent the donor from being rewarded for breaking a promise. In the engagement ring situation, this approach also recognizes that the donee has often expended money towards the wedding by the time the donor ends the engagement. Since the donee has no recourse for recovering the money, allowing the donee to keep the engagement ring may serve as compensation. However, as a discussion of the no-fault approach will show, the fault-based approach has its disadvantages. </w:t>
      </w:r>
    </w:p>
    <w:p w:rsidR="003B7C0A" w:rsidRDefault="003B7C0A" w:rsidP="003B7C0A">
      <w:pPr>
        <w:spacing w:before="120"/>
      </w:pPr>
      <w:r>
        <w:t xml:space="preserve">Under the no-fault approach, gifts given in contemplation of marriage are returned to the donor if the marriage does not occur, regardless of who is at fault in ending the engagement. Courts adopting this approach have noted that legislatures and courts are moving away from a fault-based approach to divorce. Courts adopting this approach also point to the difficulties involved in determining who is at fault and whether a person's reasons for ending an engagement are justifiable. These courts express a concern that a fault-based approach will lead to acrimonious lawsuits, with each party attempting to blame the other for the termination of the engagement. . . .  </w:t>
      </w:r>
    </w:p>
    <w:p w:rsidR="003B7C0A" w:rsidRDefault="003B7C0A" w:rsidP="003B7C0A">
      <w:pPr>
        <w:spacing w:before="120"/>
      </w:pPr>
      <w:r>
        <w:t xml:space="preserve">Having carefully considered the </w:t>
      </w:r>
      <w:r w:rsidR="00170033">
        <w:t xml:space="preserve">[various] </w:t>
      </w:r>
      <w:r>
        <w:t xml:space="preserve">approaches, we conclude the third approach, which implies a condition on the gift of the engagement ring only, is the best approach. The engagement ring has a special significance because it symbolizes the couple's promise to marry. As a symbol of the promise to marry, what value does the ring have for the donee once the engagement is ended? Moreover, we realize that a donor proposing to his or her beloved is unlikely to expressly condition the gift of the engagement ring on the occurrence of the marriage. Not only do we realize how unlikely this is, we recognize </w:t>
      </w:r>
      <w:r>
        <w:lastRenderedPageBreak/>
        <w:t>how unromantic such a requirement would be. Thus, because of the engagement ring's symbolic significance, we are willing to imply a condition to the gift of the engagement ring. Unless the parties have agreed otherwise, the donor is entitled to recover the engagement ring (or its value) if the marriage does not occur, regardless of who ended the engagement.</w:t>
      </w:r>
    </w:p>
    <w:p w:rsidR="003B7C0A" w:rsidRDefault="003B7C0A" w:rsidP="003B7C0A">
      <w:pPr>
        <w:spacing w:before="120"/>
      </w:pPr>
      <w:r>
        <w:t>While we are willing to imply a condition concerning the engagement ring, we are unwilling to do so for other gifts given during the engagement period. Unlike the engagement ring, the other gifts have no symbolic meaning. Rather, they are merely "tokens of the love and affection which [the donor] bore for the [donee]."  Unfortunately, gift law does not allow a donor to recover/revoke an inter vivos gift simply because his or her reasons for giving it have "soured".</w:t>
      </w:r>
    </w:p>
    <w:p w:rsidR="003B7C0A" w:rsidRDefault="003B7C0A" w:rsidP="003B7C0A">
      <w:pPr>
        <w:spacing w:before="120"/>
      </w:pPr>
      <w:r>
        <w:t>. . . We believe the best approach is to treat gifts exchanged during the engagement period (excluding the engagement ring) as absolute and irrevocable inter vivos gifts unless the donor has expressed an intent that the gift be conditioned on the subsequent marriage.</w:t>
      </w:r>
      <w:r w:rsidR="00170033">
        <w:t xml:space="preserve"> . . . </w:t>
      </w:r>
      <w:r>
        <w:t>Thus, the gifts are irrevocable inter vivos gifts and Cooper is not entitled to their return.</w:t>
      </w:r>
    </w:p>
    <w:p w:rsidR="003B7C0A" w:rsidRDefault="003B7C0A" w:rsidP="003B7C0A">
      <w:pPr>
        <w:spacing w:before="120"/>
      </w:pPr>
      <w:r>
        <w:t xml:space="preserve">Cooper also argues . . . that the theory of unjust enrichment allows him to recover the gifts he gave to Julie. It is not entirely clear from Cooper's brief whether this is a separate argument or whether it is part of his argument regarding gifts in contemplation of marriage. However, even if it is intended as a separate argument, it has no merit. The issue of unjust enrichment does not arise with absolute gifts because "enrichment of the donee is the intended purpose of a gift." Thus, while the donee is enriched by an absolute gift, the enrichment is not unjust. . . </w:t>
      </w:r>
      <w:r w:rsidR="00170033">
        <w:t>.</w:t>
      </w:r>
    </w:p>
    <w:p w:rsidR="003B7C0A" w:rsidRDefault="003B7C0A" w:rsidP="003B7C0A">
      <w:pPr>
        <w:spacing w:before="120"/>
      </w:pPr>
      <w:r>
        <w:t xml:space="preserve">Accordingly, we conclude the court's finding declaring the gifts final and absolute was not against the manifest weight of the evidence. Because the gifts to Janet were final and absolute, no issue of unjust enrichment arises. As noted above, "enrichment of the donee is the intended purpose of a gift." Thus, we conclude Cooper's [claim] of error has no merit. . . </w:t>
      </w:r>
    </w:p>
    <w:p w:rsidR="003B7C0A" w:rsidRDefault="003B7C0A" w:rsidP="003B7C0A">
      <w:pPr>
        <w:spacing w:before="120"/>
      </w:pPr>
      <w:r>
        <w:t>Accordingly, the judgment of the trial court is affirmed.</w:t>
      </w:r>
    </w:p>
    <w:p w:rsidR="003B7C0A" w:rsidRDefault="003B7C0A" w:rsidP="003B7C0A">
      <w:pPr>
        <w:spacing w:before="120"/>
      </w:pPr>
      <w:r>
        <w:t>JUDGMENT AFFIRMED.</w:t>
      </w:r>
    </w:p>
    <w:p w:rsidR="003B7C0A" w:rsidRDefault="003B7C0A" w:rsidP="003B7C0A">
      <w:pPr>
        <w:spacing w:before="120"/>
      </w:pPr>
    </w:p>
    <w:p w:rsidR="003B7C0A" w:rsidRDefault="003B7C0A" w:rsidP="003B7C0A">
      <w:pPr>
        <w:spacing w:before="120"/>
      </w:pPr>
      <w:r>
        <w:t>Abele, J. &amp; Kline, J.: Concur in Judgment and Opinion.</w:t>
      </w:r>
    </w:p>
    <w:p w:rsidR="003B7C0A" w:rsidRDefault="003B7C0A" w:rsidP="003B7C0A">
      <w:pPr>
        <w:spacing w:before="120"/>
      </w:pPr>
      <w:r>
        <w:t>For the Court</w:t>
      </w:r>
      <w:r w:rsidR="006D3EB3">
        <w:t xml:space="preserve">    </w:t>
      </w:r>
      <w:r>
        <w:t>BY: William H. Harsha, Judge</w:t>
      </w:r>
    </w:p>
    <w:p w:rsidR="003B7C0A" w:rsidRDefault="003B7C0A" w:rsidP="003B7C0A">
      <w:pPr>
        <w:spacing w:before="120"/>
        <w:sectPr w:rsidR="003B7C0A" w:rsidSect="004862C6">
          <w:footerReference w:type="default" r:id="rId18"/>
          <w:pgSz w:w="12240" w:h="15840"/>
          <w:pgMar w:top="1152" w:right="1152" w:bottom="1152" w:left="1152" w:header="720" w:footer="720" w:gutter="0"/>
          <w:cols w:space="720"/>
          <w:noEndnote/>
          <w:titlePg/>
          <w:docGrid w:linePitch="272"/>
        </w:sectPr>
      </w:pPr>
    </w:p>
    <w:p w:rsidR="008C51CD" w:rsidRPr="002D0D48" w:rsidRDefault="008C51CD" w:rsidP="008C51CD">
      <w:pPr>
        <w:ind w:left="1200" w:right="1200"/>
        <w:jc w:val="center"/>
        <w:rPr>
          <w:bCs/>
        </w:rPr>
      </w:pPr>
      <w:r w:rsidRPr="002D0D48">
        <w:rPr>
          <w:bCs/>
        </w:rPr>
        <w:lastRenderedPageBreak/>
        <w:t>In the Matter of the Estate of Raymond P. Wirth, Deceased. Drexel University, Appellant; Raymond P. Wirth, Jr., et al., Respondents.</w:t>
      </w:r>
    </w:p>
    <w:p w:rsidR="008C51CD" w:rsidRPr="002D0D48" w:rsidRDefault="008C51CD" w:rsidP="008C51CD">
      <w:pPr>
        <w:rPr>
          <w:bCs/>
        </w:rPr>
      </w:pPr>
    </w:p>
    <w:p w:rsidR="008C51CD" w:rsidRPr="002D0D48" w:rsidRDefault="00AD68A8" w:rsidP="008C51CD">
      <w:pPr>
        <w:ind w:left="1200" w:right="1200"/>
        <w:jc w:val="center"/>
        <w:rPr>
          <w:bCs/>
        </w:rPr>
      </w:pPr>
      <w:r>
        <w:rPr>
          <w:bCs/>
        </w:rPr>
        <w:t>Supreme Court o</w:t>
      </w:r>
      <w:r w:rsidRPr="002D0D48">
        <w:rPr>
          <w:bCs/>
        </w:rPr>
        <w:t>f New York, Appellate Division, Second Department</w:t>
      </w:r>
    </w:p>
    <w:p w:rsidR="008C51CD" w:rsidRPr="002D0D48" w:rsidRDefault="008C51CD" w:rsidP="008C51CD">
      <w:pPr>
        <w:rPr>
          <w:bCs/>
        </w:rPr>
      </w:pPr>
    </w:p>
    <w:p w:rsidR="008C51CD" w:rsidRPr="002D0D48" w:rsidRDefault="008C51CD" w:rsidP="008C51CD">
      <w:pPr>
        <w:ind w:left="1200" w:right="1200"/>
        <w:jc w:val="center"/>
        <w:rPr>
          <w:bCs/>
        </w:rPr>
      </w:pPr>
      <w:r w:rsidRPr="002D0D48">
        <w:rPr>
          <w:bCs/>
          <w:color w:val="000000" w:themeColor="text1"/>
        </w:rPr>
        <w:t>14 A.D.3d 572; 789 N.Y</w:t>
      </w:r>
      <w:r w:rsidRPr="002D0D48">
        <w:rPr>
          <w:bCs/>
        </w:rPr>
        <w:t>.S.2d 69</w:t>
      </w:r>
    </w:p>
    <w:p w:rsidR="008C51CD" w:rsidRPr="002D0D48" w:rsidRDefault="008C51CD" w:rsidP="008C51CD">
      <w:pPr>
        <w:rPr>
          <w:bCs/>
        </w:rPr>
      </w:pPr>
    </w:p>
    <w:p w:rsidR="008C51CD" w:rsidRPr="002D0D48" w:rsidRDefault="008C51CD" w:rsidP="008C51CD">
      <w:pPr>
        <w:ind w:left="1200" w:right="1200"/>
        <w:jc w:val="center"/>
        <w:rPr>
          <w:bCs/>
        </w:rPr>
      </w:pPr>
      <w:r>
        <w:rPr>
          <w:bCs/>
        </w:rPr>
        <w:t>April 2, 2004, Argued</w:t>
      </w:r>
    </w:p>
    <w:p w:rsidR="008C51CD" w:rsidRPr="002D0D48" w:rsidRDefault="008C51CD" w:rsidP="008C51CD">
      <w:pPr>
        <w:ind w:left="1200" w:right="1200"/>
        <w:jc w:val="center"/>
        <w:rPr>
          <w:bCs/>
        </w:rPr>
      </w:pPr>
      <w:r>
        <w:rPr>
          <w:bCs/>
        </w:rPr>
        <w:t>January 18, 2005, Decided</w:t>
      </w:r>
    </w:p>
    <w:p w:rsidR="008C51CD" w:rsidRPr="002D0D48" w:rsidRDefault="008C51CD" w:rsidP="008C51CD">
      <w:pPr>
        <w:rPr>
          <w:bCs/>
        </w:rPr>
      </w:pPr>
    </w:p>
    <w:p w:rsidR="008C51CD" w:rsidRPr="002D0D48" w:rsidRDefault="008C51CD" w:rsidP="008C51CD"/>
    <w:p w:rsidR="008C51CD" w:rsidRDefault="008C51CD" w:rsidP="008C51CD">
      <w:pPr>
        <w:rPr>
          <w:bCs/>
        </w:rPr>
      </w:pPr>
    </w:p>
    <w:p w:rsidR="008C51CD" w:rsidRPr="002D0D48" w:rsidRDefault="008C51CD" w:rsidP="008C51CD">
      <w:r w:rsidRPr="002D0D48">
        <w:rPr>
          <w:bCs/>
        </w:rPr>
        <w:t xml:space="preserve">PRIOR HISTORY: </w:t>
      </w:r>
      <w:r w:rsidRPr="002D0D48">
        <w:t>In the Matter of the Estate of RAYMOND P. WIRTH, Deceased., 2003 N.Y. Misc. LEXIS 2065 (N.Y. Sur. Ct., Jan. 31, 2003)</w:t>
      </w:r>
    </w:p>
    <w:p w:rsidR="008C51CD" w:rsidRPr="002D0D48" w:rsidRDefault="008C51CD" w:rsidP="008C51CD"/>
    <w:p w:rsidR="008C51CD" w:rsidRPr="002D0D48" w:rsidRDefault="008C51CD" w:rsidP="008C51CD">
      <w:r w:rsidRPr="002D0D48">
        <w:rPr>
          <w:bCs/>
        </w:rPr>
        <w:t>JUDGES:</w:t>
      </w:r>
      <w:r>
        <w:rPr>
          <w:bCs/>
        </w:rPr>
        <w:t xml:space="preserve">  </w:t>
      </w:r>
      <w:r w:rsidRPr="002D0D48">
        <w:rPr>
          <w:bCs/>
        </w:rPr>
        <w:t xml:space="preserve"> </w:t>
      </w:r>
      <w:r w:rsidRPr="002D0D48">
        <w:t xml:space="preserve">ANITA R. FLORIO, J.P., ROBERT W. SCHMIDT, NANCY E. SMITH, STEPHEN G. CRANE, REINALDO E. RIVERA, JJ. SCHMIDT, CRANE and RIVERA, JJ., concur. FLORIO, J.P. and SMITH, J., dissent.  </w:t>
      </w:r>
    </w:p>
    <w:p w:rsidR="008C51CD" w:rsidRPr="002D0D48" w:rsidRDefault="008C51CD" w:rsidP="008C51CD"/>
    <w:p w:rsidR="008C51CD" w:rsidRPr="002D0D48" w:rsidRDefault="008C51CD" w:rsidP="008C51CD">
      <w:pPr>
        <w:rPr>
          <w:bCs/>
        </w:rPr>
      </w:pPr>
      <w:r w:rsidRPr="002D0D48">
        <w:rPr>
          <w:bCs/>
        </w:rPr>
        <w:t>OPINION</w:t>
      </w:r>
      <w:r>
        <w:rPr>
          <w:bCs/>
        </w:rPr>
        <w:t>:</w:t>
      </w:r>
    </w:p>
    <w:p w:rsidR="008C51CD" w:rsidRDefault="008C51CD" w:rsidP="008C51CD">
      <w:pPr>
        <w:spacing w:before="120"/>
      </w:pPr>
      <w:r w:rsidRPr="002D0D48">
        <w:t xml:space="preserve">In a proceeding, inter alia, to enforce a pledge agreement executed by the decedent, Raymond P. </w:t>
      </w:r>
      <w:r>
        <w:t>Wirth, the petitioner appeals, as limited by its brief, from so much of a decree of the Surrogate's Court, Nassau County (Riordan, J.), dated January 31, 2003, as denied its motion for summary judgment and, upon searching the record, granted summary judgment dismissing the petition, and dismissed the petition.</w:t>
      </w:r>
    </w:p>
    <w:p w:rsidR="008C51CD" w:rsidRDefault="008C51CD" w:rsidP="008C51CD">
      <w:pPr>
        <w:spacing w:before="120"/>
      </w:pPr>
      <w:r>
        <w:t>Ordered that the decree is reversed insofar as appealed from, on the law, with costs, the petition is reinstated, and the motion is granted.</w:t>
      </w:r>
    </w:p>
    <w:p w:rsidR="008C51CD" w:rsidRDefault="008C51CD" w:rsidP="008C51CD">
      <w:pPr>
        <w:spacing w:before="120"/>
      </w:pPr>
      <w:r>
        <w:t>The petitioner, Drexel University (hereinafter Drexel), commenced this proceeding, inter alia, to enforce a Pledge agreement executed by Raymond P. Wirth (hereinafter the decedent) less than two months before his death. The pledge agreement stated, inter alia, that in consideration of the decedent's interest in education, and "intending to be legally bound," the decedent "irrevocably pledge[d] and promise[d] to pay" Drexel the sum of $150,000. The parties agree that Pennsylvania law controls the interpretation of the alleged agreement.</w:t>
      </w:r>
    </w:p>
    <w:p w:rsidR="008C51CD" w:rsidRDefault="008C51CD" w:rsidP="008C51CD">
      <w:pPr>
        <w:spacing w:before="120"/>
      </w:pPr>
      <w:r>
        <w:t>Pursuant to Pennsylvania's Uniform Written Obligations Act, 33 Pa Stat Ann § 6: "A written release or promise, hereafter made and signed by the person releasing or promising, shall not be invalid or unenforceable for lack of consideration, if the writing also contains an additional express statement, in any form of language, that the signer intends to be legally bound."</w:t>
      </w:r>
    </w:p>
    <w:p w:rsidR="008C51CD" w:rsidRDefault="008C51CD" w:rsidP="008C51CD">
      <w:pPr>
        <w:spacing w:before="120"/>
      </w:pPr>
      <w:r>
        <w:t xml:space="preserve">Pursuant to this statute, the pledge agreement does not fail for lack of consideration, as the decedent expressly stated his intent to be legally bound by his pledge. </w:t>
      </w:r>
    </w:p>
    <w:p w:rsidR="008C51CD" w:rsidRDefault="008C51CD" w:rsidP="008C51CD">
      <w:pPr>
        <w:spacing w:before="120"/>
      </w:pPr>
      <w:r>
        <w:t>Moreover, even if we were to determine that the decedent, as promisor, anticipated consideration in return for his promise, there was no "failure of consideration" (</w:t>
      </w:r>
      <w:r>
        <w:rPr>
          <w:i/>
          <w:iCs/>
        </w:rPr>
        <w:t>see Meek v Frantz,</w:t>
      </w:r>
      <w:r>
        <w:t xml:space="preserve"> 171 Pa. 632, 638, 33 A. 413 [1895]; </w:t>
      </w:r>
      <w:r>
        <w:rPr>
          <w:i/>
          <w:iCs/>
        </w:rPr>
        <w:t>cf. Williams v Katawczik,</w:t>
      </w:r>
      <w:r>
        <w:t xml:space="preserve"> 53 Pa. D. &amp; C. 4th 558, 567 [2001]). The pledge agreement, which also was executed by representatives of Drexel, provided that the pledged sum "shall be used by" Drexel to create an endowed scholarship fund in the decedent's name, "per the terms of the attached Letter of Understanding." The letter of understanding, which also was executed by the decedent and representatives of Drexel, provided, inter alia, that the scholarship fund would become effective immediately upon the transfer of the initial $ 50,000, which was to take place on or before December 31, 2000. The pledge agreement further stated: "I acknowledge that [Drexel's] promise to use the amount pledged by me shall constitute full and adequate consideration for this pledge."</w:t>
      </w:r>
    </w:p>
    <w:p w:rsidR="008C51CD" w:rsidRDefault="008C51CD" w:rsidP="008C51CD">
      <w:pPr>
        <w:spacing w:before="120"/>
      </w:pPr>
      <w:r>
        <w:t>In our view, pursuant to the terms of the pledge agreement, Drexel provided sufficient consideration by expressly accepting the terms of the pledge agreement and by promising to establish the scholarship fund in the decedent's name (</w:t>
      </w:r>
      <w:r>
        <w:rPr>
          <w:i/>
          <w:iCs/>
        </w:rPr>
        <w:t>see Presbyterian Bd. of Foreign Missions v Smith,</w:t>
      </w:r>
      <w:r>
        <w:t xml:space="preserve"> 209 Pa. 361, 58 A. 689 [1904]; </w:t>
      </w:r>
      <w:r>
        <w:rPr>
          <w:i/>
          <w:iCs/>
        </w:rPr>
        <w:t>cf. In re Helfenstein's Estate,</w:t>
      </w:r>
      <w:r>
        <w:t xml:space="preserve"> 77 Pa. 328, 1 Week. Notes Cas. 211 [1875]). The fact that the decedent died before the initial gift was transferred into a special account set up by Drexel, and therefore the scholarship fund was not yet implemented, did not negate the sufficiency of the promise as consideration to set up the fund. We disagree with our dissenting colleagues' position that the promise by the decedent was "merely an unenforceable promise to pay money in the future." (</w:t>
      </w:r>
      <w:r>
        <w:rPr>
          <w:i/>
          <w:iCs/>
        </w:rPr>
        <w:t>Infra</w:t>
      </w:r>
      <w:r>
        <w:t xml:space="preserve"> at 575.)</w:t>
      </w:r>
    </w:p>
    <w:p w:rsidR="008C51CD" w:rsidRDefault="008C51CD" w:rsidP="008C51CD">
      <w:pPr>
        <w:spacing w:before="120"/>
      </w:pPr>
      <w:r>
        <w:lastRenderedPageBreak/>
        <w:t>We further note that Drexel, in support of its motion for summary judgment, made a prima facie showing that the decedent was not coerced into signing the pledge documents and was not mentally impaired. In opposition, the respondent failed to submit evidence in admissible form to rebut the prima facie showing (</w:t>
      </w:r>
      <w:r>
        <w:rPr>
          <w:i/>
          <w:iCs/>
        </w:rPr>
        <w:t>see Zuckerman v City of New York,</w:t>
      </w:r>
      <w:r>
        <w:t xml:space="preserve"> 49 N.Y.2d 557, 562-563, 404 N.E.2d 718, 427 N.Y.S.2d 595 [1980]). Accordingly, Drexel's motion for summary judgment is granted.</w:t>
      </w:r>
    </w:p>
    <w:p w:rsidR="008C51CD" w:rsidRDefault="008C51CD" w:rsidP="008C51CD">
      <w:pPr>
        <w:spacing w:before="120"/>
      </w:pPr>
      <w:r>
        <w:t xml:space="preserve">The respondent's remaining contentions either are without merit or unpreserved for appellate review. Schmidt, Crane and Rivera, JJ., concur.  </w:t>
      </w:r>
    </w:p>
    <w:p w:rsidR="008C51CD" w:rsidRDefault="008C51CD" w:rsidP="008C51CD"/>
    <w:p w:rsidR="008C51CD" w:rsidRDefault="008C51CD" w:rsidP="008C51CD">
      <w:pPr>
        <w:rPr>
          <w:b/>
          <w:bCs/>
        </w:rPr>
      </w:pPr>
    </w:p>
    <w:p w:rsidR="008C51CD" w:rsidRDefault="008C51CD" w:rsidP="008C51CD">
      <w:r w:rsidRPr="002D0D48">
        <w:rPr>
          <w:bCs/>
        </w:rPr>
        <w:t xml:space="preserve">DISSENT BY:  </w:t>
      </w:r>
      <w:r>
        <w:t>FLORIO; SMITH</w:t>
      </w:r>
    </w:p>
    <w:p w:rsidR="003B7C0A" w:rsidRPr="00AD68A8" w:rsidRDefault="008C51CD" w:rsidP="00AD68A8">
      <w:pPr>
        <w:spacing w:before="120"/>
      </w:pPr>
      <w:r>
        <w:t>Florio, J.P. and Smith, J., dissent and vote to affirm the decree insofar as appealed from with the following memorandum: As we differ from the majority's view of the Pennsylvania law which controls this case, we would affirm the decree of the Surrogate's Court insofar as appealed from. Drexel seeks, inter alia, to enforce a pledge agreement allegedly executed by the decedent prior to his death, in which the decedent promised to pay Drexel the sum of $150,000. He had not paid the money prior to his demise, and Drexel commenced this proceeding to enforce the claim against the estate. The parties correctly agree that Pennsylvania law controls the interpretation of the alleged agreement. Despite the statute of frauds (33 Pa Stat Ann § 6), under Pennsylvania law a charitable promise to pay money in the future is not enforceable unless there is consideration for the promise (</w:t>
      </w:r>
      <w:r>
        <w:rPr>
          <w:i/>
          <w:iCs/>
        </w:rPr>
        <w:t>see In re of Brooks' Estate,</w:t>
      </w:r>
      <w:r>
        <w:t xml:space="preserve"> 40 Pa. D. &amp; C. 2d 491 [1966]; </w:t>
      </w:r>
      <w:r>
        <w:rPr>
          <w:i/>
          <w:iCs/>
        </w:rPr>
        <w:t>In re Helfenstein's Estate,</w:t>
      </w:r>
      <w:r>
        <w:t xml:space="preserve"> 77 Pa. 328, 331, 1 Week. Notes Cas. 211 [1875]; 8 Pa Law Encyclopedia, Charities §§ 61-63 [2d ed]). In a charitable gift case, consideration is defined either as some type of detrimental reliance upon the promise by the promisee, or other donors who were induced to donate based on this promise (</w:t>
      </w:r>
      <w:r>
        <w:rPr>
          <w:i/>
          <w:iCs/>
        </w:rPr>
        <w:t>see</w:t>
      </w:r>
      <w:r>
        <w:t xml:space="preserve"> 8 Pa Law Encyclopedia, Charities § 62 [2d ed]; </w:t>
      </w:r>
      <w:r>
        <w:rPr>
          <w:i/>
          <w:iCs/>
        </w:rPr>
        <w:t>see also University of Pennsylvania's Trustees v Cadwalader,</w:t>
      </w:r>
      <w:r>
        <w:t xml:space="preserve"> 277 Pa. 512, 516, 121 A. 314 [1923]; </w:t>
      </w:r>
      <w:r>
        <w:rPr>
          <w:i/>
          <w:iCs/>
        </w:rPr>
        <w:t>Presbyterian Bd. of Foreign Missions v Smith,</w:t>
      </w:r>
      <w:r>
        <w:t xml:space="preserve"> 209 Pa. 361, 58 A. 689 [1904]; </w:t>
      </w:r>
      <w:r>
        <w:rPr>
          <w:i/>
          <w:iCs/>
        </w:rPr>
        <w:t>In re Pink's Estate,</w:t>
      </w:r>
      <w:r>
        <w:t xml:space="preserve"> 71 Pa. D. &amp; C. 2d 667, 671 [1975]; </w:t>
      </w:r>
      <w:r>
        <w:rPr>
          <w:i/>
          <w:iCs/>
        </w:rPr>
        <w:t>In re Rebmann's Estate,</w:t>
      </w:r>
      <w:r>
        <w:t xml:space="preserve"> 43 Pa. D. &amp; C.2d 549, 552-553, 89 Mont. County L. Rep. 44 [1967]). As the decedent died before the initial gift was transferred to Drexel, and before any acts were done by Drexel in reliance on the promise, the promise was merely an unenforceable prom</w:t>
      </w:r>
      <w:r w:rsidR="00AD68A8">
        <w:t>ise to pay money in the future.</w:t>
      </w:r>
      <w:r w:rsidR="003B7C0A">
        <w:rPr>
          <w:color w:val="000000"/>
          <w:spacing w:val="-3"/>
        </w:rPr>
        <w:br w:type="page"/>
      </w:r>
    </w:p>
    <w:p w:rsidR="003B7C0A" w:rsidRDefault="003B7C0A">
      <w:pPr>
        <w:spacing w:after="160" w:line="259" w:lineRule="auto"/>
        <w:rPr>
          <w:bCs/>
        </w:rPr>
      </w:pPr>
    </w:p>
    <w:p w:rsidR="00032A5B" w:rsidRPr="00781AB0" w:rsidRDefault="00032A5B" w:rsidP="00032A5B">
      <w:pPr>
        <w:ind w:left="1200" w:right="1200"/>
        <w:jc w:val="center"/>
        <w:rPr>
          <w:bCs/>
        </w:rPr>
      </w:pPr>
      <w:r w:rsidRPr="00781AB0">
        <w:rPr>
          <w:bCs/>
        </w:rPr>
        <w:t>William Michael JONES, Petitioner, v. Free Flight Sport Aviation, Inc., Respondents</w:t>
      </w:r>
    </w:p>
    <w:p w:rsidR="00032A5B" w:rsidRPr="00781AB0" w:rsidRDefault="00032A5B" w:rsidP="00032A5B">
      <w:pPr>
        <w:rPr>
          <w:bCs/>
        </w:rPr>
      </w:pPr>
    </w:p>
    <w:p w:rsidR="00032A5B" w:rsidRPr="00781AB0" w:rsidRDefault="00032A5B" w:rsidP="00032A5B">
      <w:pPr>
        <w:ind w:left="1200" w:right="1200"/>
        <w:jc w:val="center"/>
        <w:rPr>
          <w:bCs/>
        </w:rPr>
      </w:pPr>
      <w:r w:rsidRPr="00781AB0">
        <w:rPr>
          <w:bCs/>
        </w:rPr>
        <w:t xml:space="preserve">Supreme Court of </w:t>
      </w:r>
      <w:smartTag w:uri="urn:schemas-microsoft-com:office:smarttags" w:element="place">
        <w:smartTag w:uri="urn:schemas-microsoft-com:office:smarttags" w:element="State">
          <w:r w:rsidRPr="00781AB0">
            <w:rPr>
              <w:bCs/>
            </w:rPr>
            <w:t>Colorado</w:t>
          </w:r>
        </w:smartTag>
      </w:smartTag>
    </w:p>
    <w:p w:rsidR="00032A5B" w:rsidRPr="00781AB0" w:rsidRDefault="00032A5B" w:rsidP="00032A5B">
      <w:pPr>
        <w:rPr>
          <w:bCs/>
        </w:rPr>
      </w:pPr>
    </w:p>
    <w:p w:rsidR="00032A5B" w:rsidRPr="00781AB0" w:rsidRDefault="00032A5B" w:rsidP="00032A5B">
      <w:pPr>
        <w:ind w:left="1200" w:right="1200"/>
        <w:jc w:val="center"/>
        <w:rPr>
          <w:bCs/>
        </w:rPr>
      </w:pPr>
      <w:r w:rsidRPr="00781AB0">
        <w:rPr>
          <w:bCs/>
        </w:rPr>
        <w:t>623 P.2d 370</w:t>
      </w:r>
    </w:p>
    <w:p w:rsidR="00032A5B" w:rsidRPr="00781AB0" w:rsidRDefault="00032A5B" w:rsidP="00032A5B">
      <w:pPr>
        <w:ind w:left="1200" w:right="1200"/>
        <w:jc w:val="center"/>
        <w:rPr>
          <w:bCs/>
        </w:rPr>
      </w:pPr>
      <w:smartTag w:uri="urn:schemas-microsoft-com:office:smarttags" w:element="date">
        <w:smartTagPr>
          <w:attr w:name="Year" w:val="1981"/>
          <w:attr w:name="Day" w:val="5"/>
          <w:attr w:name="Month" w:val="1"/>
          <w:attr w:name="ls" w:val="trans"/>
        </w:smartTagPr>
        <w:r w:rsidRPr="00781AB0">
          <w:rPr>
            <w:bCs/>
          </w:rPr>
          <w:t>January 5, 1981</w:t>
        </w:r>
      </w:smartTag>
      <w:r w:rsidRPr="00781AB0">
        <w:rPr>
          <w:bCs/>
        </w:rPr>
        <w:t xml:space="preserve"> </w:t>
      </w:r>
    </w:p>
    <w:p w:rsidR="00032A5B" w:rsidRDefault="00032A5B" w:rsidP="00032A5B">
      <w:pPr>
        <w:rPr>
          <w:b/>
          <w:bCs/>
        </w:rPr>
      </w:pPr>
    </w:p>
    <w:p w:rsidR="00032A5B" w:rsidRDefault="00032A5B" w:rsidP="00032A5B"/>
    <w:p w:rsidR="00032A5B" w:rsidRDefault="00032A5B" w:rsidP="00032A5B">
      <w:r w:rsidRPr="00781AB0">
        <w:rPr>
          <w:bCs/>
        </w:rPr>
        <w:t xml:space="preserve">JUDGES: </w:t>
      </w:r>
      <w:r>
        <w:t xml:space="preserve">  En Banc.  Justice Erickson</w:t>
      </w:r>
      <w:r w:rsidRPr="002B32FF">
        <w:t xml:space="preserve"> </w:t>
      </w:r>
      <w:r>
        <w:t>delivered the Opinion of the Court. Justice Lee does not participate.</w:t>
      </w:r>
    </w:p>
    <w:p w:rsidR="00032A5B" w:rsidRDefault="00032A5B" w:rsidP="00032A5B">
      <w:pPr>
        <w:spacing w:before="120"/>
      </w:pPr>
    </w:p>
    <w:p w:rsidR="00032A5B" w:rsidRDefault="00032A5B" w:rsidP="00032A5B">
      <w:pPr>
        <w:spacing w:before="120"/>
      </w:pPr>
      <w:r>
        <w:t>We granted certiorari to review the decision.  In an action for damages by the plaintiff for personal injuries sustained in an airplane crash, the trial court granted the defendants' motion for partial summary judgment. Summary judgment was based upon the execution of an exculpatory agreement which the court held insulated the defendants from liability for simple negligence involving the crash of an airplane. . . . The court of appeals affirmed.  We affirm the court of appeals.</w:t>
      </w:r>
    </w:p>
    <w:p w:rsidR="00032A5B" w:rsidRDefault="00032A5B" w:rsidP="00032A5B">
      <w:pPr>
        <w:spacing w:before="120"/>
      </w:pPr>
      <w:r>
        <w:t xml:space="preserve">On </w:t>
      </w:r>
      <w:smartTag w:uri="urn:schemas-microsoft-com:office:smarttags" w:element="date">
        <w:smartTagPr>
          <w:attr w:name="Year" w:val="1973"/>
          <w:attr w:name="Day" w:val="17"/>
          <w:attr w:name="Month" w:val="11"/>
          <w:attr w:name="ls" w:val="trans"/>
        </w:smartTagPr>
        <w:r>
          <w:t>November 17, 1973</w:t>
        </w:r>
      </w:smartTag>
      <w:r>
        <w:t>, the plaintiff, William Michael Jones, who was then seventeen years old, signed a contract with the defendant, Free Flight Sport Aviation, Inc. (Free Flight).  The contract allowed Jones to use Free Flight's recreational skydiving facilities, which included use of an airplane to ferry skydivers to the parachute jumping site.  A covenant not to sue and a clause exempting Free Flight from liability were included in the contract:</w:t>
      </w:r>
    </w:p>
    <w:p w:rsidR="00032A5B" w:rsidRDefault="00032A5B" w:rsidP="00032A5B">
      <w:pPr>
        <w:ind w:left="600" w:right="600"/>
        <w:rPr>
          <w:sz w:val="16"/>
          <w:szCs w:val="16"/>
        </w:rPr>
      </w:pPr>
    </w:p>
    <w:p w:rsidR="00032A5B" w:rsidRPr="002B32FF" w:rsidRDefault="00032A5B" w:rsidP="00032A5B">
      <w:pPr>
        <w:ind w:left="600" w:right="600"/>
      </w:pPr>
      <w:r w:rsidRPr="002B32FF">
        <w:t>"2A. EXEMPTION FROM LIABILITY.  The [plaintiff] exempts and releases the Corporation, its, owners, officers, agents, servants, employees, and lessors from any and all liability, claims, demands or actions or causes of action whatsoever arising out of any damage, loss or injury to the [plaintiff] or the [plaintiff's] property while upon the premises or aircraft of the Corporation or while participating in any of the activities contemplated by this Agreement, whether such loss, damage, or injury results from the negligence of the Corporation, its officers, agents, servants, employees, or lessors or from some other cause."</w:t>
      </w:r>
    </w:p>
    <w:p w:rsidR="00032A5B" w:rsidRDefault="00032A5B" w:rsidP="00032A5B">
      <w:pPr>
        <w:spacing w:before="120"/>
      </w:pPr>
      <w:r>
        <w:t>The contract also contained an alternative provision which would have permitted Jones to use Free Flight's facilities at an increased cost, but without releasing Free Flight from liability for negligence.</w:t>
      </w:r>
    </w:p>
    <w:p w:rsidR="00032A5B" w:rsidRPr="00C0336D" w:rsidRDefault="00032A5B" w:rsidP="00032A5B">
      <w:pPr>
        <w:spacing w:before="120"/>
      </w:pPr>
      <w:r>
        <w:t xml:space="preserve">On </w:t>
      </w:r>
      <w:smartTag w:uri="urn:schemas-microsoft-com:office:smarttags" w:element="date">
        <w:smartTagPr>
          <w:attr w:name="Year" w:val="1973"/>
          <w:attr w:name="Day" w:val="28"/>
          <w:attr w:name="Month" w:val="12"/>
          <w:attr w:name="ls" w:val="trans"/>
        </w:smartTagPr>
        <w:r>
          <w:t>December 28, 1973</w:t>
        </w:r>
      </w:smartTag>
      <w:r>
        <w:t xml:space="preserve">, Jones attained the age of eighteen. Ten months later, on  </w:t>
      </w:r>
      <w:smartTag w:uri="urn:schemas-microsoft-com:office:smarttags" w:element="date">
        <w:smartTagPr>
          <w:attr w:name="Year" w:val="1974"/>
          <w:attr w:name="Day" w:val="19"/>
          <w:attr w:name="Month" w:val="10"/>
          <w:attr w:name="ls" w:val="trans"/>
        </w:smartTagPr>
        <w:r>
          <w:t>October 19, 1974</w:t>
        </w:r>
      </w:smartTag>
      <w:r>
        <w:t xml:space="preserve">, he suffered serious personal injuries in an airplane crash which occurred shortly after takeoff from </w:t>
      </w:r>
      <w:smartTag w:uri="urn:schemas-microsoft-com:office:smarttags" w:element="place">
        <w:smartTag w:uri="urn:schemas-microsoft-com:office:smarttags" w:element="PlaceName">
          <w:r>
            <w:t>Littleton</w:t>
          </w:r>
        </w:smartTag>
        <w:r>
          <w:t xml:space="preserve"> </w:t>
        </w:r>
        <w:smartTag w:uri="urn:schemas-microsoft-com:office:smarttags" w:element="PlaceType">
          <w:r>
            <w:t>Airport</w:t>
          </w:r>
        </w:smartTag>
      </w:smartTag>
      <w:r>
        <w:t>.  Free Flight fu</w:t>
      </w:r>
      <w:r w:rsidRPr="00C0336D">
        <w:t xml:space="preserve">rnished the airplane as part of its skydiving operation. </w:t>
      </w:r>
      <w:r>
        <w:rPr>
          <w:vertAlign w:val="superscript"/>
        </w:rPr>
        <w:t xml:space="preserve"> </w:t>
      </w:r>
      <w:r>
        <w:t>[I</w:t>
      </w:r>
      <w:r w:rsidRPr="00C0336D">
        <w:t xml:space="preserve">nferences can be gleaned from the record that indicate that Jones used Free Flight's services on several occasions between </w:t>
      </w:r>
      <w:smartTag w:uri="urn:schemas-microsoft-com:office:smarttags" w:element="date">
        <w:smartTagPr>
          <w:attr w:name="Year" w:val="1973"/>
          <w:attr w:name="Day" w:val="17"/>
          <w:attr w:name="Month" w:val="11"/>
          <w:attr w:name="ls" w:val="trans"/>
        </w:smartTagPr>
        <w:r w:rsidRPr="00C0336D">
          <w:t>November 17, 1973</w:t>
        </w:r>
      </w:smartTag>
      <w:r w:rsidRPr="00C0336D">
        <w:t xml:space="preserve">, the date that the contract was signed, and </w:t>
      </w:r>
      <w:smartTag w:uri="urn:schemas-microsoft-com:office:smarttags" w:element="date">
        <w:smartTagPr>
          <w:attr w:name="Year" w:val="1974"/>
          <w:attr w:name="Day" w:val="19"/>
          <w:attr w:name="Month" w:val="10"/>
          <w:attr w:name="ls" w:val="trans"/>
        </w:smartTagPr>
        <w:r w:rsidRPr="00C0336D">
          <w:t>October 19, 1974</w:t>
        </w:r>
      </w:smartTag>
      <w:r w:rsidRPr="00C0336D">
        <w:t>, the date of the crash.]</w:t>
      </w:r>
    </w:p>
    <w:p w:rsidR="00032A5B" w:rsidRDefault="00032A5B" w:rsidP="00032A5B">
      <w:pPr>
        <w:spacing w:before="120"/>
      </w:pPr>
      <w:r w:rsidRPr="00C0336D">
        <w:t xml:space="preserve">On </w:t>
      </w:r>
      <w:smartTag w:uri="urn:schemas-microsoft-com:office:smarttags" w:element="date">
        <w:smartTagPr>
          <w:attr w:name="Year" w:val="1975"/>
          <w:attr w:name="Day" w:val="21"/>
          <w:attr w:name="Month" w:val="11"/>
          <w:attr w:name="ls" w:val="trans"/>
        </w:smartTagPr>
        <w:r w:rsidRPr="00C0336D">
          <w:t>November 21, 1975</w:t>
        </w:r>
      </w:smartTag>
      <w:r w:rsidRPr="00C0336D">
        <w:t>, nearly two years after attaining his majority, Jones filed suit against Free Flight allegin</w:t>
      </w:r>
      <w:r>
        <w:t>g negligence and willful and wanton misconduct as the cause of the airplane crash. The defendants included the owners and operators of the airplane, the airport, and Free Flight.  Based upon the exculpatory agreement, the trial court granted summary judgment in favor of the defendants.  The court of appeals affirmed the trial court.</w:t>
      </w:r>
    </w:p>
    <w:p w:rsidR="00032A5B" w:rsidRDefault="00032A5B" w:rsidP="00032A5B">
      <w:pPr>
        <w:spacing w:before="120"/>
      </w:pPr>
      <w:r>
        <w:t>Jones asserts three grounds for reversal of the summary judgment. First, he claims that he disaffirmed the contract with Free Flight within a reasonable time after he attained his majority by filing suit.  Second, he asserts that the exculpatory agreement is void as a matter of public policy. Third, he contends that inasmuch as an exculpatory agreement must be strictly construed against the party seeking to avoid liability for negligence, the injuries which he sustained as a result of the airplane crash were beyond the scope of the agreement.</w:t>
      </w:r>
    </w:p>
    <w:p w:rsidR="00032A5B" w:rsidRDefault="00032A5B" w:rsidP="00032A5B"/>
    <w:p w:rsidR="00032A5B" w:rsidRDefault="00032A5B" w:rsidP="00032A5B">
      <w:r>
        <w:rPr>
          <w:b/>
          <w:bCs/>
        </w:rPr>
        <w:t>I.</w:t>
      </w:r>
    </w:p>
    <w:p w:rsidR="00032A5B" w:rsidRDefault="00032A5B" w:rsidP="00032A5B">
      <w:pPr>
        <w:spacing w:before="120"/>
      </w:pPr>
      <w:r>
        <w:t>Summary Judgment</w:t>
      </w:r>
    </w:p>
    <w:p w:rsidR="00032A5B" w:rsidRDefault="00032A5B" w:rsidP="00032A5B">
      <w:pPr>
        <w:spacing w:before="120"/>
        <w:rPr>
          <w:i/>
          <w:iCs/>
        </w:rPr>
      </w:pPr>
      <w:r>
        <w:t>Summary judgment is only granted if the pleadings, admissions, depositions, answers to interrogatories, and affidavits establish that no genuine issue exists as to any material fact and judgment should be entered as a matter of law. C.R.C.P. 56(c).  It is, however, a drastic remedy, and should only be granted upon a clear showing that there is no genuine issue as to any material fact.  In determining whether summary judgment is proper, the trial court must resolve all doubts as to whether an issue of fact exists against the moving party.  However, the existence of a difficult or complicated question of law, when there is no issue as to the facts, is not a bar to summary judgment.</w:t>
      </w:r>
    </w:p>
    <w:p w:rsidR="00032A5B" w:rsidRDefault="00032A5B" w:rsidP="00032A5B">
      <w:pPr>
        <w:spacing w:before="120"/>
      </w:pPr>
      <w:r>
        <w:lastRenderedPageBreak/>
        <w:t>Consequently, our review of the order granting summary judgment necessarily involves a determination of whether a genuine issue as to any material fact exists which would foreclose the defendants from obtaining summary judgment as a matter of law.</w:t>
      </w:r>
    </w:p>
    <w:p w:rsidR="00032A5B" w:rsidRDefault="00032A5B" w:rsidP="00032A5B"/>
    <w:p w:rsidR="00032A5B" w:rsidRDefault="00032A5B" w:rsidP="00032A5B">
      <w:r>
        <w:rPr>
          <w:b/>
          <w:bCs/>
        </w:rPr>
        <w:t xml:space="preserve">II.  </w:t>
      </w:r>
      <w:r>
        <w:t>Ratification</w:t>
      </w:r>
    </w:p>
    <w:p w:rsidR="00032A5B" w:rsidRDefault="00032A5B" w:rsidP="00032A5B">
      <w:pPr>
        <w:spacing w:before="120"/>
      </w:pPr>
      <w:r>
        <w:t>As a matter of public policy, the courts have protected minors from improvident and imprudent contractual commitments by declaring that the contract of a minor is voidable at the election of the minor after he attains his majority. A minor may disaffirm a contract made during his minority within a reasonable time after attaining his majority or he may, after becoming of legal age, by acts recognizing the contract, ratify it.</w:t>
      </w:r>
    </w:p>
    <w:p w:rsidR="00032A5B" w:rsidRDefault="00032A5B" w:rsidP="00032A5B">
      <w:pPr>
        <w:spacing w:before="120"/>
      </w:pPr>
      <w:r>
        <w:t xml:space="preserve">Affirmance is not merely a matter of intent.  It may be determined by the actions of a minor who accepts the benefits of a contract after reaching the age of majority, or who is silent or acquiesces in the contract for a considerable length of time.  What act constitutes ratification or disaffirmance is ordinarily a question of law to be determined by the trial court. We agree that what constitutes a reasonable time for affirmance or disaffirmance is ordinarily a question of fact to be determined by the facts in a particular case. We conclude, however, that the trial court properly determined that Jones ratified the contract, as a matter of law, by accepting the benefits of the contract when he used Free Flight's facilities on </w:t>
      </w:r>
      <w:smartTag w:uri="urn:schemas-microsoft-com:office:smarttags" w:element="date">
        <w:smartTagPr>
          <w:attr w:name="Year" w:val="1974"/>
          <w:attr w:name="Day" w:val="19"/>
          <w:attr w:name="Month" w:val="10"/>
          <w:attr w:name="ls" w:val="trans"/>
        </w:smartTagPr>
        <w:r>
          <w:t>October 19, 1974</w:t>
        </w:r>
      </w:smartTag>
      <w:r>
        <w:t>.</w:t>
      </w:r>
    </w:p>
    <w:p w:rsidR="00032A5B" w:rsidRDefault="00032A5B" w:rsidP="00032A5B">
      <w:pPr>
        <w:spacing w:before="120"/>
      </w:pPr>
      <w:r>
        <w:t>Thus, since Jones ratified the contract, the factual issue of whether his suit for personal injuries was filed within a reasonable time after attaining his majority and constituted disaffirmance of the contract, is not relevant.  Accordingly, the entry of summary judgment on the issue of ratification was not error.</w:t>
      </w:r>
    </w:p>
    <w:p w:rsidR="00032A5B" w:rsidRDefault="00032A5B" w:rsidP="00032A5B"/>
    <w:p w:rsidR="00032A5B" w:rsidRDefault="00032A5B" w:rsidP="00032A5B">
      <w:r>
        <w:rPr>
          <w:b/>
          <w:bCs/>
        </w:rPr>
        <w:t xml:space="preserve">III.  </w:t>
      </w:r>
      <w:r>
        <w:t>The Contract</w:t>
      </w:r>
    </w:p>
    <w:p w:rsidR="00032A5B" w:rsidRDefault="00032A5B" w:rsidP="00032A5B">
      <w:pPr>
        <w:spacing w:before="120"/>
      </w:pPr>
      <w:r>
        <w:t>Jones' assertion that his contract with Free Flight is void as a matter of public policy, raises two issues: (A) whether the contract with Free Flight is an adhesion contract; and (B) the validity of the exculpatory provisions of the contract.  Our consideration of the two issues necessarily involves a determination, as a matter of law, whether summary judgment was properly granted based upon the undisputed facts in this case.</w:t>
      </w:r>
    </w:p>
    <w:p w:rsidR="00032A5B" w:rsidRDefault="00032A5B" w:rsidP="00032A5B">
      <w:pPr>
        <w:spacing w:before="120"/>
      </w:pPr>
      <w:r>
        <w:t>A.  Adhesion Contract</w:t>
      </w:r>
    </w:p>
    <w:p w:rsidR="00032A5B" w:rsidRDefault="00032A5B" w:rsidP="00032A5B">
      <w:pPr>
        <w:spacing w:before="120"/>
      </w:pPr>
      <w:r>
        <w:t>An adhesion contract is a contract drafted unilaterally by a business enterprise and forced upon an unwilling and often unknowing public for services that cannot readily be obtained elsewhere.  An adhesion contract is generally not bargained for, but is imposed on the public for a necessary service on a take or leave it basis. . . .</w:t>
      </w:r>
    </w:p>
    <w:p w:rsidR="00032A5B" w:rsidRDefault="00032A5B" w:rsidP="00032A5B">
      <w:pPr>
        <w:spacing w:before="120"/>
      </w:pPr>
      <w:r>
        <w:t>The various elements of an adhesion contract may be characterized as substantive (those that appear in the contract) and procedural (those that must be identified by resort to evidence relating to the formation of the contract).  However, whether the issue is substantive or procedural, the determination of whether the contract is an adhesion contract is a matter of law for the court to resolve. Thus, in the absence of any genuine issue of material fact, the issue of whether a contract is an adhesion contract, does not preclude the entry of summary judgment.</w:t>
      </w:r>
    </w:p>
    <w:p w:rsidR="00032A5B" w:rsidRDefault="00032A5B" w:rsidP="00032A5B">
      <w:pPr>
        <w:spacing w:before="120"/>
      </w:pPr>
      <w:r>
        <w:t>We conclude that the record in the instant case supports the trial court's determination that the contract between Jones and Free Flight was not an adhesion contract as a matter of law.</w:t>
      </w:r>
    </w:p>
    <w:p w:rsidR="00032A5B" w:rsidRDefault="00032A5B" w:rsidP="00032A5B">
      <w:pPr>
        <w:spacing w:before="120"/>
      </w:pPr>
      <w:r>
        <w:t>Jones contends that this was an adhesion contract because he was not allowed to select the alternative provision which would have allowed him to participate in the activities without releasing Free Flight from liability for its negligence, and that a genuine issue as to his lack of choice precluded the entry of summary judgment.  We disagree. . . .  The fact that a contract is a printed form contract and offered on a "take-it-or-leave-it" basis does not alone cause it to be an adhesion contract.</w:t>
      </w:r>
    </w:p>
    <w:p w:rsidR="00032A5B" w:rsidRDefault="00032A5B" w:rsidP="00032A5B">
      <w:pPr>
        <w:spacing w:before="120"/>
      </w:pPr>
      <w:r>
        <w:t>We also agree with the court of appeals' conclusion that nothing in the record establishes a disparity in bargaining power, or that the services provided by Free Flight could not be obtained elsewhere.</w:t>
      </w:r>
    </w:p>
    <w:p w:rsidR="00032A5B" w:rsidRDefault="00032A5B" w:rsidP="00032A5B">
      <w:pPr>
        <w:spacing w:before="120"/>
      </w:pPr>
      <w:r>
        <w:t>B.  The Exculpatory Provisions</w:t>
      </w:r>
    </w:p>
    <w:p w:rsidR="00032A5B" w:rsidRDefault="00032A5B" w:rsidP="00032A5B">
      <w:pPr>
        <w:spacing w:before="120"/>
      </w:pPr>
      <w:r>
        <w:t>Jones asserts that the exculpatory agreement is void as a matter of public policy. We disagree.  The court of appeals [previously] held that an exculpatory clause in a contract relating to recreational activities will be given effect where the intention of the parties is expressed in sufficiently clear and unequivocal language and does not fall within any of the categories where the public interest is directly involved.</w:t>
      </w:r>
    </w:p>
    <w:p w:rsidR="00032A5B" w:rsidRDefault="00032A5B" w:rsidP="00032A5B">
      <w:pPr>
        <w:spacing w:before="120"/>
      </w:pPr>
      <w:r>
        <w:t xml:space="preserve">Jones, however, claims that summary judgment should not have been granted.  </w:t>
      </w:r>
    </w:p>
    <w:p w:rsidR="00032A5B" w:rsidRDefault="00032A5B" w:rsidP="00032A5B">
      <w:pPr>
        <w:spacing w:before="120"/>
      </w:pPr>
      <w:r>
        <w:lastRenderedPageBreak/>
        <w:t>The determination of the sufficiency and validity of an exculpatory agreement is a question of law for the court to determine.  Generally, an issue relating to the validity of an exculpatory agreement does not preclude the entry of summary judgment.</w:t>
      </w:r>
    </w:p>
    <w:p w:rsidR="00032A5B" w:rsidRDefault="00032A5B" w:rsidP="00032A5B">
      <w:pPr>
        <w:spacing w:before="120"/>
      </w:pPr>
      <w:r>
        <w:t>An exculpatory agreement, which attempts to insulate a party from liability from his own negligence, must be closely scrutinized, and in no event will such an agreement provide a shield against a claim for willful and wanton negligence. In determining whether an exculpatory agreement is valid, there are four factors which a court must consider:  (1) the existence of a duty to the public; (2) the nature of the service performed; (3) whether the contract was fairly entered into; and (4) whether the intention of the parties is expressed in clear and unambiguous language.</w:t>
      </w:r>
    </w:p>
    <w:p w:rsidR="00032A5B" w:rsidRDefault="00032A5B" w:rsidP="00032A5B">
      <w:pPr>
        <w:spacing w:before="120"/>
      </w:pPr>
      <w:r>
        <w:t>Measured against the four factors which determine the validity of an exculpatory agreement, we conclude that the trial court correctly held, as a matter of law, that the exculpatory agreement was valid.  Therefore, the granting of defendants' motion for summary judgment was not error.</w:t>
      </w:r>
    </w:p>
    <w:p w:rsidR="00032A5B" w:rsidRDefault="00032A5B" w:rsidP="00032A5B">
      <w:pPr>
        <w:spacing w:before="120"/>
      </w:pPr>
      <w:r>
        <w:t>The duty to the public factor is not present in this case. . . .  In light of the foregoing factors, we conclude that the contract between Jones and Free Flight does not fall within the category of agreements affecting the public interest.</w:t>
      </w:r>
    </w:p>
    <w:p w:rsidR="00032A5B" w:rsidRDefault="00032A5B" w:rsidP="00032A5B">
      <w:pPr>
        <w:spacing w:before="120"/>
      </w:pPr>
      <w:r>
        <w:t>We conclude that an insufficient number of these characteristics are present in the instant case to establish that the contract between Jones and Free Flight affected the public interest. The service provided by Free Flight was not a matter of practical necessity for even some members of the public; because the service provided by Free Flight was not an essential service, it did not possess a decisive advantage of bargaining strength over Jones; and the contract was not an adhesion contract.</w:t>
      </w:r>
    </w:p>
    <w:p w:rsidR="00032A5B" w:rsidRDefault="00032A5B" w:rsidP="00032A5B">
      <w:pPr>
        <w:spacing w:before="120"/>
      </w:pPr>
      <w:r>
        <w:t>Finally, in our consideration of the remaining factors that must be reviewed in considering the validity of an exculpatory agreement, we note that there was no disagreement between the parties that the contract was fairly entered into.  Likewise, the agreement expressed the parties' intention in clear and unambiguous language; the contract used the word "negligence" and specifically included injuries sustained "while upon the aircraft of the Corporation."</w:t>
      </w:r>
    </w:p>
    <w:p w:rsidR="00032A5B" w:rsidRPr="00781AB0" w:rsidRDefault="00032A5B" w:rsidP="00032A5B">
      <w:pPr>
        <w:spacing w:before="120"/>
        <w:rPr>
          <w:i/>
          <w:iCs/>
        </w:rPr>
      </w:pPr>
      <w:r>
        <w:t>We conclude that the exculpatory agreement was not void as a matter of public policy, and that there was no genuine issue as to any material fact.</w:t>
      </w:r>
    </w:p>
    <w:p w:rsidR="00032A5B" w:rsidRDefault="00032A5B" w:rsidP="00032A5B">
      <w:pPr>
        <w:spacing w:before="120"/>
      </w:pPr>
      <w:r>
        <w:t>Accordingly, the trial court properly granted a partial summary judgment on the simple negligence issue and we, therefore, affirm the decision of the court of appeals.</w:t>
      </w:r>
    </w:p>
    <w:p w:rsidR="00032A5B" w:rsidRDefault="00032A5B" w:rsidP="00032A5B">
      <w:pPr>
        <w:spacing w:before="120"/>
      </w:pPr>
    </w:p>
    <w:p w:rsidR="00032A5B" w:rsidRPr="00954ACD" w:rsidRDefault="00032A5B" w:rsidP="00032A5B">
      <w:pPr>
        <w:spacing w:before="120"/>
        <w:jc w:val="center"/>
        <w:rPr>
          <w:bCs/>
        </w:rPr>
      </w:pPr>
      <w:r>
        <w:br w:type="page"/>
      </w:r>
      <w:r w:rsidRPr="00954ACD">
        <w:rPr>
          <w:bCs/>
        </w:rPr>
        <w:lastRenderedPageBreak/>
        <w:t>SUCCESSION OF RICHARD ALVIN FLOOD, ET AL v. FIDELITY &amp; GUARANTY LIFE INSURANCE COMPANY</w:t>
      </w:r>
    </w:p>
    <w:p w:rsidR="00032A5B" w:rsidRPr="00954ACD" w:rsidRDefault="00032A5B" w:rsidP="00032A5B">
      <w:pPr>
        <w:rPr>
          <w:bCs/>
        </w:rPr>
      </w:pPr>
    </w:p>
    <w:p w:rsidR="00032A5B" w:rsidRPr="00954ACD" w:rsidRDefault="00032A5B" w:rsidP="00032A5B">
      <w:pPr>
        <w:ind w:left="1200" w:right="1200"/>
        <w:jc w:val="center"/>
        <w:rPr>
          <w:bCs/>
        </w:rPr>
      </w:pPr>
      <w:r w:rsidRPr="00954ACD">
        <w:rPr>
          <w:bCs/>
        </w:rPr>
        <w:t xml:space="preserve">Court of Appeal of </w:t>
      </w:r>
      <w:smartTag w:uri="urn:schemas-microsoft-com:office:smarttags" w:element="place">
        <w:smartTag w:uri="urn:schemas-microsoft-com:office:smarttags" w:element="State">
          <w:r w:rsidRPr="00954ACD">
            <w:rPr>
              <w:bCs/>
            </w:rPr>
            <w:t>Louisiana</w:t>
          </w:r>
        </w:smartTag>
      </w:smartTag>
      <w:r w:rsidRPr="00954ACD">
        <w:rPr>
          <w:bCs/>
        </w:rPr>
        <w:t>, First Circuit</w:t>
      </w:r>
    </w:p>
    <w:p w:rsidR="00032A5B" w:rsidRPr="00954ACD" w:rsidRDefault="00032A5B" w:rsidP="00032A5B">
      <w:pPr>
        <w:rPr>
          <w:bCs/>
        </w:rPr>
      </w:pPr>
    </w:p>
    <w:p w:rsidR="00032A5B" w:rsidRPr="00954ACD" w:rsidRDefault="00032A5B" w:rsidP="00032A5B">
      <w:pPr>
        <w:ind w:left="1200" w:right="1200"/>
        <w:jc w:val="center"/>
        <w:rPr>
          <w:bCs/>
        </w:rPr>
      </w:pPr>
      <w:r w:rsidRPr="00954ACD">
        <w:rPr>
          <w:bCs/>
        </w:rPr>
        <w:t>394 So. 2d 1311</w:t>
      </w:r>
    </w:p>
    <w:p w:rsidR="00032A5B" w:rsidRPr="00954ACD" w:rsidRDefault="00032A5B" w:rsidP="00032A5B">
      <w:pPr>
        <w:rPr>
          <w:bCs/>
        </w:rPr>
      </w:pPr>
    </w:p>
    <w:p w:rsidR="00032A5B" w:rsidRPr="00954ACD" w:rsidRDefault="00032A5B" w:rsidP="00032A5B">
      <w:pPr>
        <w:ind w:left="1200" w:right="1200"/>
        <w:jc w:val="center"/>
        <w:rPr>
          <w:bCs/>
        </w:rPr>
      </w:pPr>
      <w:smartTag w:uri="urn:schemas-microsoft-com:office:smarttags" w:element="date">
        <w:smartTagPr>
          <w:attr w:name="Year" w:val="1981"/>
          <w:attr w:name="Day" w:val="26"/>
          <w:attr w:name="Month" w:val="1"/>
          <w:attr w:name="ls" w:val="trans"/>
        </w:smartTagPr>
        <w:r w:rsidRPr="00954ACD">
          <w:rPr>
            <w:bCs/>
          </w:rPr>
          <w:t>January 26, 1981</w:t>
        </w:r>
      </w:smartTag>
      <w:r w:rsidRPr="00954ACD">
        <w:rPr>
          <w:bCs/>
        </w:rPr>
        <w:t xml:space="preserve"> </w:t>
      </w:r>
    </w:p>
    <w:p w:rsidR="00032A5B" w:rsidRPr="00954ACD" w:rsidRDefault="00032A5B" w:rsidP="00032A5B">
      <w:pPr>
        <w:rPr>
          <w:bCs/>
        </w:rPr>
      </w:pPr>
    </w:p>
    <w:p w:rsidR="00032A5B" w:rsidRPr="00954ACD" w:rsidRDefault="00032A5B" w:rsidP="00032A5B">
      <w:pPr>
        <w:rPr>
          <w:bCs/>
        </w:rPr>
      </w:pPr>
    </w:p>
    <w:p w:rsidR="00032A5B" w:rsidRPr="00954ACD" w:rsidRDefault="00032A5B" w:rsidP="00032A5B">
      <w:r w:rsidRPr="00954ACD">
        <w:rPr>
          <w:bCs/>
        </w:rPr>
        <w:t xml:space="preserve">JUDGES: </w:t>
      </w:r>
      <w:r>
        <w:rPr>
          <w:bCs/>
        </w:rPr>
        <w:t xml:space="preserve"> </w:t>
      </w:r>
      <w:smartTag w:uri="urn:schemas-microsoft-com:office:smarttags" w:element="place">
        <w:smartTag w:uri="urn:schemas-microsoft-com:office:smarttags" w:element="City">
          <w:r w:rsidRPr="00954ACD">
            <w:t>COVINGTON</w:t>
          </w:r>
        </w:smartTag>
      </w:smartTag>
      <w:r w:rsidRPr="00954ACD">
        <w:t xml:space="preserve">, CHIASSON and LEAR, JJ.  </w:t>
      </w:r>
    </w:p>
    <w:p w:rsidR="00032A5B" w:rsidRPr="00954ACD" w:rsidRDefault="00032A5B" w:rsidP="00032A5B"/>
    <w:p w:rsidR="00032A5B" w:rsidRPr="00954ACD" w:rsidRDefault="00032A5B" w:rsidP="00032A5B">
      <w:r w:rsidRPr="00954ACD">
        <w:rPr>
          <w:bCs/>
        </w:rPr>
        <w:t xml:space="preserve">OPINION BY:  </w:t>
      </w:r>
      <w:r w:rsidRPr="00954ACD">
        <w:t xml:space="preserve">LEAR </w:t>
      </w:r>
    </w:p>
    <w:p w:rsidR="00032A5B" w:rsidRDefault="00032A5B" w:rsidP="00032A5B"/>
    <w:p w:rsidR="00032A5B" w:rsidRDefault="00032A5B" w:rsidP="00032A5B">
      <w:pPr>
        <w:spacing w:before="120"/>
      </w:pPr>
      <w:r>
        <w:t>Fidelity &amp; Guaranty Life Insurance Company (hereinafter called Fidelity), the defendant-appellant, seeks reversal of the decision of the lower court which upheld the validity of a life insurance policy issued on the life of the late Richard Alvin Flood which, appellant contends, was fraudulently procured.  The estate of decedent, Flood, instituted these proceedings to recover the proceeds of the policy of life insurance. The estate is now postured as plaintiff-appellees.</w:t>
      </w:r>
    </w:p>
    <w:p w:rsidR="00032A5B" w:rsidRDefault="00032A5B" w:rsidP="00032A5B">
      <w:pPr>
        <w:spacing w:before="120"/>
      </w:pPr>
      <w:r>
        <w:t xml:space="preserve">In 1971, Richard Alvin Flood resided with his wife and family in </w:t>
      </w:r>
      <w:smartTag w:uri="urn:schemas-microsoft-com:office:smarttags" w:element="place">
        <w:smartTag w:uri="urn:schemas-microsoft-com:office:smarttags" w:element="City">
          <w:r>
            <w:t>Houma</w:t>
          </w:r>
        </w:smartTag>
        <w:r>
          <w:t xml:space="preserve">, </w:t>
        </w:r>
        <w:smartTag w:uri="urn:schemas-microsoft-com:office:smarttags" w:element="State">
          <w:r>
            <w:t>Louisiana</w:t>
          </w:r>
        </w:smartTag>
      </w:smartTag>
      <w:r>
        <w:t>.  Mr. Flood was employed by the Transcontinental Gas Pipeline Corporation.  Ellen Flood, his wife, was employed by Houtz Insurance Agency as an underwriter of personal casualty insurance.</w:t>
      </w:r>
    </w:p>
    <w:p w:rsidR="00032A5B" w:rsidRPr="00546418" w:rsidRDefault="00032A5B" w:rsidP="00032A5B">
      <w:pPr>
        <w:spacing w:before="120"/>
      </w:pPr>
      <w:r>
        <w:t xml:space="preserve">In February, 1971, defendant, Fidelity, received an application for life insurance purportedly bearing the signature of Richard Flood.  A policy of life insurance was issued, and Ellen Flood was designated as the beneficiary. In August, 1971, a change of ownership form was submitted to defendant-appellant purportedly bearing the signature of Richard Flood and changing the ownership of the policy to Ellen Flood. Subsequent to these events, Richard Alvin Flood was murdered (in 1972) at the hands of his wife, Ellen Flood.  The details of the homicide and the findings and adjudications of the guilt of Ellen Flood are found in </w:t>
      </w:r>
      <w:r w:rsidRPr="009D424C">
        <w:rPr>
          <w:i/>
        </w:rPr>
        <w:t>State v. Flood</w:t>
      </w:r>
      <w:r>
        <w:t>, 301 So.2d 637 (La.1974).  E</w:t>
      </w:r>
      <w:r w:rsidRPr="00546418">
        <w:t>xcerpt</w:t>
      </w:r>
      <w:r>
        <w:t>s of</w:t>
      </w:r>
      <w:r w:rsidRPr="00546418">
        <w:t xml:space="preserve"> the pertinent part of the findings of the Supreme Court </w:t>
      </w:r>
      <w:r>
        <w:t>are as follows</w:t>
      </w:r>
      <w:r w:rsidRPr="00546418">
        <w:t>:</w:t>
      </w:r>
    </w:p>
    <w:p w:rsidR="00032A5B" w:rsidRPr="00546418" w:rsidRDefault="00032A5B" w:rsidP="00032A5B">
      <w:pPr>
        <w:spacing w:before="120"/>
        <w:ind w:left="600"/>
      </w:pPr>
      <w:r w:rsidRPr="00546418">
        <w:t xml:space="preserve">Richard and Ellen Flood were married in 1965.  At the time of Richard's death on </w:t>
      </w:r>
      <w:smartTag w:uri="urn:schemas-microsoft-com:office:smarttags" w:element="date">
        <w:smartTagPr>
          <w:attr w:name="Year" w:val="1972"/>
          <w:attr w:name="Day" w:val="2"/>
          <w:attr w:name="Month" w:val="6"/>
          <w:attr w:name="ls" w:val="trans"/>
        </w:smartTagPr>
        <w:r w:rsidRPr="00546418">
          <w:t>June 2, 1972</w:t>
        </w:r>
      </w:smartTag>
      <w:r w:rsidRPr="00546418">
        <w:t>, he was about 27 years old.  Richard was described as a healthy robust man about 5'-10, weighing about 190 pounds</w:t>
      </w:r>
      <w:r>
        <w:t xml:space="preserve">. </w:t>
      </w:r>
      <w:r w:rsidRPr="00546418">
        <w:t xml:space="preserve"> Mr. Flood was employed at Transcontinental Gas Pipeline Company as a maintenance man earning an annual salary of $8,745.00.  Defendant was employed at Houtz Insurance Agency as an underwriter of personal casualty insurance, with a salary of $475.00 per month.  The couple lived in a house trailer.  The evidence is that defendant was unhappy in marriage and was having sexual relations with other men.  There is further evidence that, during April of 1972 (about two months prior to Richard's death), defendant made inquiry in regard to obtaining a $100,000.00 life insurance policy on the life of her husband.  The inquiry included questions by her as to whether her husband would have to be apprised of the policy.  She was given an affirmative answer to this line of questioning.  The evidence reveals that thereafter no further action was taken by her in regard to the policy.</w:t>
      </w:r>
    </w:p>
    <w:p w:rsidR="00032A5B" w:rsidRDefault="00032A5B" w:rsidP="00032A5B">
      <w:pPr>
        <w:spacing w:before="120"/>
        <w:ind w:left="600"/>
      </w:pPr>
      <w:r w:rsidRPr="00546418">
        <w:t xml:space="preserve">Richard Flood had two life insurance policies. One was a group policy through his employment </w:t>
      </w:r>
      <w:r>
        <w:t xml:space="preserve">of </w:t>
      </w:r>
      <w:r w:rsidRPr="00546418">
        <w:t>$25,000.00.  The other policy was a $5,000.00 whole life type policy with a $5,000.00 declining term rider, under which policy, the beneficiar</w:t>
      </w:r>
      <w:r>
        <w:t>y would receive approximately $</w:t>
      </w:r>
      <w:r w:rsidRPr="00546418">
        <w:t xml:space="preserve">9,300.00 at the time of Flood's death.  The ownership of this latter policy was changed from Richard Flood to Ellen Flood on </w:t>
      </w:r>
      <w:smartTag w:uri="urn:schemas-microsoft-com:office:smarttags" w:element="date">
        <w:smartTagPr>
          <w:attr w:name="Year" w:val="1971"/>
          <w:attr w:name="Day" w:val="2"/>
          <w:attr w:name="Month" w:val="8"/>
          <w:attr w:name="ls" w:val="trans"/>
        </w:smartTagPr>
        <w:r w:rsidRPr="00546418">
          <w:t>August 2, 1971</w:t>
        </w:r>
      </w:smartTag>
      <w:r w:rsidRPr="00546418">
        <w:t>.  Defendant was the beneficiar</w:t>
      </w:r>
      <w:r>
        <w:t>y under both of these policies.</w:t>
      </w:r>
    </w:p>
    <w:p w:rsidR="00032A5B" w:rsidRDefault="00032A5B" w:rsidP="00032A5B">
      <w:pPr>
        <w:spacing w:before="120"/>
        <w:ind w:left="600"/>
      </w:pPr>
      <w:r>
        <w:t>T</w:t>
      </w:r>
      <w:r w:rsidRPr="00546418">
        <w:t>he jury conclude</w:t>
      </w:r>
      <w:r>
        <w:t>d</w:t>
      </w:r>
      <w:r w:rsidRPr="00546418">
        <w:t xml:space="preserve"> that defendant murdered her husband by arsenic poisoning. The motive was there.  She was unhappy and going out with other men.  There was some evidence that she was fearful of her husband.  Further, her attempt to take out a large life insurance policy on his life without his knowledge is certainly evidence which indicates a motive, as well as the fact that she would receive about $35,000.00 as the beneficiary under the other two policies then in effect.  There is also some evidence upon which the jury could conclude that she did, in fact, administer the arsenic. The evidence that six medicine bottles found in her trailer contained arsenic is revealing.  This is particularly significant in view of the fact that the medicines called for by the labels on these bottles would not have contained any arsenic. Two of the medicines in these bottles, tylenol and paregoric, are the types which the jury could infer that Flood was taking for relief of headaches and diarrhea, some of the symptoms of his illness.  Also noteworthy is the evidence of defendant feeding Richard ice at the hospital when no feeding had been ordered.  At that time, his condition had been improving; however, from then on, he deteriorated and died several hours later.  </w:t>
      </w:r>
      <w:r w:rsidRPr="00546418">
        <w:lastRenderedPageBreak/>
        <w:t>Finally, there is no dispute that he died of arsenic poisoning. The remaining evidence is also directe</w:t>
      </w:r>
      <w:r>
        <w:t>d at proving the crime charged.</w:t>
      </w:r>
    </w:p>
    <w:p w:rsidR="00032A5B" w:rsidRDefault="00032A5B" w:rsidP="00032A5B">
      <w:pPr>
        <w:spacing w:before="120"/>
      </w:pPr>
      <w:r>
        <w:t>Suffice it to say that Richard Flood was poisoned by the use of arsenic. His wife was tried for his murder and convicted in 1973.</w:t>
      </w:r>
    </w:p>
    <w:p w:rsidR="00032A5B" w:rsidRDefault="00032A5B" w:rsidP="00032A5B">
      <w:pPr>
        <w:spacing w:before="120"/>
      </w:pPr>
      <w:r>
        <w:t>Fidelity denied Mrs. Flood's request for payment of the insurance policy based upon her being charged with her husband's death.  It returned all premiums to Mrs. Flood.</w:t>
      </w:r>
    </w:p>
    <w:p w:rsidR="00032A5B" w:rsidRDefault="00032A5B" w:rsidP="00032A5B">
      <w:pPr>
        <w:spacing w:before="120"/>
      </w:pPr>
      <w:r>
        <w:t>In 1977, a demand for payment of the policy was brought on behalf of the estate of Richard Flood or in the alternative for the benefit of the minor child of Richard and Ellen Flood.  It was denied by Fidelity which reasoned that the policy had been obtained through the forgery and fraud of Mrs. Flood.  This suit followed.</w:t>
      </w:r>
    </w:p>
    <w:p w:rsidR="00032A5B" w:rsidRDefault="00032A5B" w:rsidP="00032A5B">
      <w:pPr>
        <w:spacing w:before="120"/>
      </w:pPr>
      <w:r>
        <w:t>Plaintiff's evidence consisted of the certificate of death, the application and insurance policy and its demand letter.  The theory of plaintiff's case was that the policy of insurance is valid because the insurer is estopped from denying coverage when, as here, its agent has signed the application purporting to witness the signature of the insured (Richard Flood).</w:t>
      </w:r>
    </w:p>
    <w:p w:rsidR="00032A5B" w:rsidRDefault="00032A5B" w:rsidP="00032A5B">
      <w:pPr>
        <w:spacing w:before="120"/>
      </w:pPr>
      <w:r>
        <w:t>The defendant, in an effort to prove forgery and fraud, called several witnesses.  The agent, David Coignet, testified that Mrs. Flood presented him with an application which she represented was signed by her husband.  Acting upon that representation, he testified that he signed his name as a witness to the signature. He further admitted that the change of ownership form, which changed ownership of the policy from Mr. Flood to Mrs. Flood, bore a signature purporting to be that of Mr. Flood which wasn't in fact witnessed by him; that all transactions concerning the policy of life insurance herein complained of were handled by Mrs. Flood.</w:t>
      </w:r>
    </w:p>
    <w:p w:rsidR="00032A5B" w:rsidRDefault="00032A5B" w:rsidP="00032A5B">
      <w:pPr>
        <w:spacing w:before="120"/>
      </w:pPr>
      <w:r>
        <w:t xml:space="preserve">Defendant-appellant also adduced evidence to establish the handwriting style of Mr. Flood and called as a witness Mr. Gilbert J. Portier, Jr. of </w:t>
      </w:r>
      <w:smartTag w:uri="urn:schemas-microsoft-com:office:smarttags" w:element="City">
        <w:r>
          <w:t>New Orleans</w:t>
        </w:r>
      </w:smartTag>
      <w:r>
        <w:t xml:space="preserve">, </w:t>
      </w:r>
      <w:smartTag w:uri="urn:schemas-microsoft-com:office:smarttags" w:element="place">
        <w:smartTag w:uri="urn:schemas-microsoft-com:office:smarttags" w:element="State">
          <w:r>
            <w:t>Louisiana</w:t>
          </w:r>
        </w:smartTag>
      </w:smartTag>
      <w:r>
        <w:t xml:space="preserve">.  Mr. Portier was qualified as an expert in handwriting identification.  He testified that the known signature of Mr. Flood was not the same as the signature on the insurance policy nor that found on the change of ownership form.  Finally, appellant offered without objection the opinion of the Louisiana Supreme Court, rendered in </w:t>
      </w:r>
      <w:r w:rsidRPr="00954ACD">
        <w:rPr>
          <w:i/>
        </w:rPr>
        <w:t>State of Louisiana v. Ellen Flood</w:t>
      </w:r>
      <w:r>
        <w:t>, 301 So.2d 637.</w:t>
      </w:r>
    </w:p>
    <w:p w:rsidR="00032A5B" w:rsidRDefault="00032A5B" w:rsidP="00032A5B">
      <w:pPr>
        <w:spacing w:before="120"/>
      </w:pPr>
      <w:r>
        <w:t>The lower court rendered judgment in favor of plaintiff in the amount of $ 9,000.00.  In his written reasons for judgment, the trial judge concluded that it would be sheer speculation on the part of the court to conclude that Mr. Flood had no knowledge of the application and policy of insurance and did not approve and authorize the action taken by his wife in obtaining the said insurance.  It further found that there was no direct provable evidence to establish the wife's motive at the time the policy was applied for and, finally, construed defendant's failure to call Mrs. Flood as a factor militating against defendant's claim.</w:t>
      </w:r>
    </w:p>
    <w:p w:rsidR="00032A5B" w:rsidRDefault="00032A5B" w:rsidP="00032A5B">
      <w:pPr>
        <w:spacing w:before="120"/>
      </w:pPr>
      <w:r>
        <w:t xml:space="preserve">We must decide whether or not the policy of insurance was fraudulently obtained and, if so, whether such fraud voids the contract under </w:t>
      </w:r>
      <w:smartTag w:uri="urn:schemas-microsoft-com:office:smarttags" w:element="place">
        <w:smartTag w:uri="urn:schemas-microsoft-com:office:smarttags" w:element="State">
          <w:r>
            <w:t>Louisiana</w:t>
          </w:r>
        </w:smartTag>
      </w:smartTag>
      <w:r>
        <w:t xml:space="preserve"> law.</w:t>
      </w:r>
    </w:p>
    <w:p w:rsidR="00032A5B" w:rsidRDefault="00032A5B" w:rsidP="00032A5B">
      <w:pPr>
        <w:spacing w:before="120"/>
      </w:pPr>
      <w:r>
        <w:t xml:space="preserve">The case at bar involves a calculated attempt by Ellen Flood to subvert the laws of </w:t>
      </w:r>
      <w:smartTag w:uri="urn:schemas-microsoft-com:office:smarttags" w:element="place">
        <w:smartTag w:uri="urn:schemas-microsoft-com:office:smarttags" w:element="State">
          <w:r>
            <w:t>Louisiana</w:t>
          </w:r>
        </w:smartTag>
      </w:smartTag>
      <w:r>
        <w:t xml:space="preserve"> in order to realize a pecuniary gain.  Life insurance policies are procured because life is, indeed precarious and uncertain.  But our law does not and cannot sanction any scheme which has as its purpose the certain infliction of death for, inter alia, financial gain through receipt of the proceeds of life insurance.</w:t>
      </w:r>
    </w:p>
    <w:p w:rsidR="00032A5B" w:rsidRDefault="00032A5B" w:rsidP="00032A5B">
      <w:pPr>
        <w:spacing w:before="120"/>
      </w:pPr>
      <w:r>
        <w:t xml:space="preserve">The genesis of this litigation is the escalating criminal action of Ellen Flood, bent on taking the life of her lawful husband.  Our courts have previously adjudicated (1) the issue of the cause of death of Richard Flood, (2) the culprit in that death, and (3) the motives for the death. </w:t>
      </w:r>
      <w:r>
        <w:rPr>
          <w:sz w:val="16"/>
          <w:szCs w:val="16"/>
          <w:vertAlign w:val="superscript"/>
        </w:rPr>
        <w:t>1</w:t>
      </w:r>
      <w:r>
        <w:t xml:space="preserve"> Under the peculiar circumstances of the case, it was unreasonable of the trial court not to consider and to assign great weight to the mountain of circumstantial evidence tending to prove Mrs. Flood's scheme to defraud both the insurer, Fidelity, and the insured, Mr. Flood.</w:t>
      </w:r>
    </w:p>
    <w:p w:rsidR="00032A5B" w:rsidRDefault="00032A5B" w:rsidP="00032A5B">
      <w:pPr>
        <w:spacing w:before="120"/>
      </w:pPr>
      <w:smartTag w:uri="urn:schemas-microsoft-com:office:smarttags" w:element="place">
        <w:smartTag w:uri="urn:schemas-microsoft-com:office:smarttags" w:element="State">
          <w:r>
            <w:t>Louisiana</w:t>
          </w:r>
        </w:smartTag>
      </w:smartTag>
      <w:r>
        <w:t xml:space="preserve"> follows the majority rule which holds, as a matter of public policy, that a beneficiary named in a life insurance policy is not entitled to the proceeds of the insurance if the beneficiary feloniously kills the insured.</w:t>
      </w:r>
    </w:p>
    <w:p w:rsidR="00032A5B" w:rsidRDefault="00032A5B" w:rsidP="00032A5B">
      <w:pPr>
        <w:spacing w:before="120"/>
      </w:pPr>
      <w:r>
        <w:t xml:space="preserve">Article 1881 of our Civil Code </w:t>
      </w:r>
      <w:r>
        <w:rPr>
          <w:sz w:val="16"/>
          <w:szCs w:val="16"/>
          <w:vertAlign w:val="superscript"/>
        </w:rPr>
        <w:t>2</w:t>
      </w:r>
      <w:r>
        <w:t xml:space="preserve"> provides that contracts made through fraud are voidable by the parties. </w:t>
      </w:r>
      <w:r>
        <w:rPr>
          <w:sz w:val="16"/>
          <w:szCs w:val="16"/>
          <w:vertAlign w:val="superscript"/>
        </w:rPr>
        <w:t>3</w:t>
      </w:r>
      <w:r>
        <w:t xml:space="preserve"> Article 1847(7) defines, in pertinent part, fraud and an instance in which its invocation will nullify a contract. </w:t>
      </w:r>
      <w:r>
        <w:rPr>
          <w:sz w:val="16"/>
          <w:szCs w:val="16"/>
          <w:vertAlign w:val="superscript"/>
        </w:rPr>
        <w:t>4</w:t>
      </w:r>
    </w:p>
    <w:p w:rsidR="00032A5B" w:rsidRDefault="00032A5B" w:rsidP="00032A5B">
      <w:pPr>
        <w:spacing w:before="120"/>
      </w:pPr>
      <w:r>
        <w:t>Additionally,  Title 22 of the Revised Statutes, Section 619(B) governs the standard for life insurance applications:</w:t>
      </w:r>
    </w:p>
    <w:p w:rsidR="00032A5B" w:rsidRDefault="00032A5B" w:rsidP="00032A5B">
      <w:pPr>
        <w:spacing w:before="120"/>
        <w:ind w:left="720"/>
      </w:pPr>
      <w:r>
        <w:t xml:space="preserve">"B.  In any application for life or health and accident insurance made in writing by the insured, all statements therein made by the insured shall, in the absence of fraud, be deemed representations and not warranties.  The falsity of any such statement shall not bar the right to recovery under the contract unless such false statement was </w:t>
      </w:r>
      <w:r>
        <w:lastRenderedPageBreak/>
        <w:t>made with actual intent to deceive or unless it materially affected either the acceptance of the risk or the hazard assumed by the insurer."</w:t>
      </w:r>
    </w:p>
    <w:p w:rsidR="00032A5B" w:rsidRDefault="00032A5B" w:rsidP="00032A5B"/>
    <w:p w:rsidR="00032A5B" w:rsidRPr="00954ACD" w:rsidRDefault="00032A5B" w:rsidP="00032A5B">
      <w:pPr>
        <w:ind w:right="600"/>
      </w:pPr>
      <w:r w:rsidRPr="00954ACD">
        <w:t>It is clear to us that the entirety of the transaction here reviewed is tainted with the intendment of Ellen Flood to contravene the prohibitory law.  The fact that plaintiff seeks to install in her stead a contingent beneficiary is of no consequence.  To sanction this policy in any way would surely shackle the spirit, letter and life of our laws.</w:t>
      </w:r>
    </w:p>
    <w:p w:rsidR="00032A5B" w:rsidRDefault="00032A5B" w:rsidP="00032A5B">
      <w:pPr>
        <w:spacing w:before="120"/>
        <w:ind w:right="600"/>
      </w:pPr>
      <w:r w:rsidRPr="00954ACD">
        <w:t>For the foregoing reasons, the decision of the lower court is reversed, and judgment is entered in favor of defendant-appellant, Fidelity &amp; Guaranty Life Insurance Company, dismissing the suit of plaintiff-appellee, Succession of Richard Alvin Flood, all costs to be paid by the plaintiff-appellee.</w:t>
      </w:r>
    </w:p>
    <w:p w:rsidR="00032A5B" w:rsidRDefault="00032A5B" w:rsidP="00032A5B">
      <w:pPr>
        <w:spacing w:before="120"/>
        <w:ind w:right="600"/>
      </w:pPr>
    </w:p>
    <w:p w:rsidR="00032A5B" w:rsidRDefault="00032A5B" w:rsidP="00032A5B">
      <w:pPr>
        <w:spacing w:before="120"/>
        <w:ind w:right="600"/>
      </w:pPr>
      <w:r w:rsidRPr="00954ACD">
        <w:t xml:space="preserve">REVERSED.  </w:t>
      </w:r>
    </w:p>
    <w:p w:rsidR="00032A5B" w:rsidRPr="00EE2592" w:rsidRDefault="00032A5B" w:rsidP="00032A5B">
      <w:pPr>
        <w:spacing w:before="120"/>
        <w:ind w:left="600"/>
        <w:jc w:val="center"/>
      </w:pPr>
      <w:r>
        <w:rPr>
          <w:sz w:val="32"/>
        </w:rPr>
        <w:br w:type="page"/>
      </w:r>
      <w:r>
        <w:rPr>
          <w:rFonts w:eastAsia="MS Mincho"/>
        </w:rPr>
        <w:lastRenderedPageBreak/>
        <w:t>R. D. RYNO, JR., APPELLANT, v. LEE TYRA AND KATHY TYRA, APPELLEES</w:t>
      </w:r>
    </w:p>
    <w:p w:rsidR="00032A5B" w:rsidRDefault="00032A5B" w:rsidP="00032A5B">
      <w:pPr>
        <w:pStyle w:val="PlainText"/>
        <w:jc w:val="center"/>
        <w:rPr>
          <w:rFonts w:ascii="Times New Roman" w:eastAsia="MS Mincho" w:hAnsi="Times New Roman"/>
        </w:rPr>
      </w:pPr>
    </w:p>
    <w:p w:rsidR="00032A5B" w:rsidRDefault="00032A5B" w:rsidP="00032A5B">
      <w:pPr>
        <w:pStyle w:val="PlainText"/>
        <w:jc w:val="center"/>
        <w:rPr>
          <w:rFonts w:ascii="Times New Roman" w:eastAsia="MS Mincho" w:hAnsi="Times New Roman"/>
        </w:rPr>
      </w:pPr>
      <w:r>
        <w:rPr>
          <w:rFonts w:ascii="Times New Roman" w:eastAsia="MS Mincho" w:hAnsi="Times New Roman"/>
        </w:rPr>
        <w:t xml:space="preserve">Court of Appeals of </w:t>
      </w:r>
      <w:smartTag w:uri="urn:schemas-microsoft-com:office:smarttags" w:element="State">
        <w:r>
          <w:rPr>
            <w:rFonts w:ascii="Times New Roman" w:eastAsia="MS Mincho" w:hAnsi="Times New Roman"/>
          </w:rPr>
          <w:t>Texas</w:t>
        </w:r>
      </w:smartTag>
      <w:r>
        <w:rPr>
          <w:rFonts w:ascii="Times New Roman" w:eastAsia="MS Mincho" w:hAnsi="Times New Roman"/>
        </w:rPr>
        <w:t xml:space="preserve">, Second District, </w:t>
      </w:r>
      <w:smartTag w:uri="urn:schemas-microsoft-com:office:smarttags" w:element="place">
        <w:smartTag w:uri="urn:schemas-microsoft-com:office:smarttags" w:element="City">
          <w:r>
            <w:rPr>
              <w:rFonts w:ascii="Times New Roman" w:eastAsia="MS Mincho" w:hAnsi="Times New Roman"/>
            </w:rPr>
            <w:t>Fort Worth</w:t>
          </w:r>
        </w:smartTag>
      </w:smartTag>
    </w:p>
    <w:p w:rsidR="00032A5B" w:rsidRDefault="00032A5B" w:rsidP="00032A5B">
      <w:pPr>
        <w:pStyle w:val="PlainText"/>
        <w:jc w:val="center"/>
        <w:rPr>
          <w:rFonts w:ascii="Times New Roman" w:eastAsia="MS Mincho" w:hAnsi="Times New Roman"/>
        </w:rPr>
      </w:pPr>
    </w:p>
    <w:p w:rsidR="00032A5B" w:rsidRDefault="00032A5B" w:rsidP="00032A5B">
      <w:pPr>
        <w:pStyle w:val="PlainText"/>
        <w:jc w:val="center"/>
        <w:rPr>
          <w:rFonts w:ascii="Times New Roman" w:eastAsia="MS Mincho" w:hAnsi="Times New Roman"/>
        </w:rPr>
      </w:pPr>
      <w:r>
        <w:rPr>
          <w:rFonts w:ascii="Times New Roman" w:eastAsia="MS Mincho" w:hAnsi="Times New Roman"/>
        </w:rPr>
        <w:t>752 S.W.2d 148</w:t>
      </w:r>
    </w:p>
    <w:p w:rsidR="00032A5B" w:rsidRDefault="00032A5B" w:rsidP="00032A5B">
      <w:pPr>
        <w:pStyle w:val="PlainText"/>
        <w:jc w:val="center"/>
        <w:rPr>
          <w:rFonts w:ascii="Times New Roman" w:eastAsia="MS Mincho" w:hAnsi="Times New Roman"/>
        </w:rPr>
      </w:pPr>
    </w:p>
    <w:p w:rsidR="00032A5B" w:rsidRDefault="00032A5B" w:rsidP="00032A5B">
      <w:pPr>
        <w:pStyle w:val="PlainText"/>
        <w:jc w:val="center"/>
        <w:rPr>
          <w:rFonts w:ascii="Times New Roman" w:eastAsia="MS Mincho" w:hAnsi="Times New Roman"/>
        </w:rPr>
      </w:pPr>
      <w:smartTag w:uri="urn:schemas-microsoft-com:office:smarttags" w:element="date">
        <w:smartTagPr>
          <w:attr w:name="Month" w:val="4"/>
          <w:attr w:name="Day" w:val="28"/>
          <w:attr w:name="Year" w:val="1988"/>
        </w:smartTagPr>
        <w:r>
          <w:rPr>
            <w:rFonts w:ascii="Times New Roman" w:eastAsia="MS Mincho" w:hAnsi="Times New Roman"/>
          </w:rPr>
          <w:t>April 28, 1988</w:t>
        </w:r>
      </w:smartTag>
    </w:p>
    <w:p w:rsidR="00032A5B" w:rsidRDefault="00032A5B" w:rsidP="00032A5B">
      <w:pPr>
        <w:pStyle w:val="PlainText"/>
        <w:jc w:val="center"/>
        <w:rPr>
          <w:rFonts w:ascii="Times New Roman" w:eastAsia="MS Mincho" w:hAnsi="Times New Roman"/>
        </w:rPr>
      </w:pP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 xml:space="preserve">JUDGES: Hill, David F. Farris, and Keltner, JJ.   </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OPINION BY: Farris</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This is a conversion case. Appellees sued appellant for the conversion of an automobile worth $125,000 which appellees won from appellant on the flip of a coin. The trial court entered judgment for appellees based upon jury findings of damages of $135,000, including $10,000 in exemplary damages. Ryno complains that the trial court erred in granting the appellees judgment because, at the time of the alleged conversion, Ryno owned the automobile and the judgment enforces a gambling contract.</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We affirm the judgment of the trial court because the evidence is sufficient to prove that the Tyras owned the automobile at the time of its conversion and the Tyras' cause of action does not require enforcement of a gambling contract. In affirming the judgment of the trial court, we also overrule Ryno's points of error complaining of the sufficiency of evidence of the amount of damages and of the awarded exemplary damages.</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 xml:space="preserve">Lee Tyra and Ryno testified, agreeing on most of the facts material to the points on appeal. At the time of the wager, Ryno owned Bavarian Motors, an automobile dealership in </w:t>
      </w:r>
      <w:smartTag w:uri="urn:schemas-microsoft-com:office:smarttags" w:element="place">
        <w:smartTag w:uri="urn:schemas-microsoft-com:office:smarttags" w:element="City">
          <w:r>
            <w:rPr>
              <w:rFonts w:ascii="Times New Roman" w:eastAsia="MS Mincho" w:hAnsi="Times New Roman"/>
            </w:rPr>
            <w:t>Fort Worth</w:t>
          </w:r>
        </w:smartTag>
      </w:smartTag>
      <w:r>
        <w:rPr>
          <w:rFonts w:ascii="Times New Roman" w:eastAsia="MS Mincho" w:hAnsi="Times New Roman"/>
        </w:rPr>
        <w:t xml:space="preserve">. On </w:t>
      </w:r>
      <w:smartTag w:uri="urn:schemas-microsoft-com:office:smarttags" w:element="date">
        <w:smartTagPr>
          <w:attr w:name="ls" w:val="trans"/>
          <w:attr w:name="Month" w:val="3"/>
          <w:attr w:name="Day" w:val="5"/>
          <w:attr w:name="Year" w:val="1981"/>
        </w:smartTagPr>
        <w:r>
          <w:rPr>
            <w:rFonts w:ascii="Times New Roman" w:eastAsia="MS Mincho" w:hAnsi="Times New Roman"/>
          </w:rPr>
          <w:t>March 5, 1981</w:t>
        </w:r>
      </w:smartTag>
      <w:r>
        <w:rPr>
          <w:rFonts w:ascii="Times New Roman" w:eastAsia="MS Mincho" w:hAnsi="Times New Roman"/>
        </w:rPr>
        <w:t>, Tyra discussed with Ryno Tyra's purchase of a 1980 BMW M-1 which Ryno agreed to sell to Tyra for the price of $125,000. Tyra testified that Ryno proposed a double or nothing coin flip. Tyra agreed and won the coin flip whereupon, according to Tyra, Ryno handed Tyra the keys to the car, said, "It's yours," and handed Tyra the "German title" to the BMW. Tyra testified that on several occasions, he took the BMW into Bavarian Motors for repairs and servicing, and upon each occasion, it was returned to him, and Ryno never asked for a return of the BMW or payment for it. Ryno provided the Tyras with paper dealer's tags for use on the BMW because it could not be licensed for street use.</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 xml:space="preserve">The German title was introduced into evidence but no translation was offered. However, a Texas Highway Department employee identified the German title as the only document accepted by his agency in issuing a </w:t>
      </w:r>
      <w:smartTag w:uri="urn:schemas-microsoft-com:office:smarttags" w:element="place">
        <w:smartTag w:uri="urn:schemas-microsoft-com:office:smarttags" w:element="State">
          <w:r>
            <w:rPr>
              <w:rFonts w:ascii="Times New Roman" w:eastAsia="MS Mincho" w:hAnsi="Times New Roman"/>
            </w:rPr>
            <w:t>Texas</w:t>
          </w:r>
        </w:smartTag>
      </w:smartTag>
      <w:r>
        <w:rPr>
          <w:rFonts w:ascii="Times New Roman" w:eastAsia="MS Mincho" w:hAnsi="Times New Roman"/>
        </w:rPr>
        <w:t xml:space="preserve"> certificate of title. Ryno denied that the document he gave Tyra was a German title, and Tyra never obtained a </w:t>
      </w:r>
      <w:smartTag w:uri="urn:schemas-microsoft-com:office:smarttags" w:element="place">
        <w:smartTag w:uri="urn:schemas-microsoft-com:office:smarttags" w:element="State">
          <w:r>
            <w:rPr>
              <w:rFonts w:ascii="Times New Roman" w:eastAsia="MS Mincho" w:hAnsi="Times New Roman"/>
            </w:rPr>
            <w:t>Texas</w:t>
          </w:r>
        </w:smartTag>
      </w:smartTag>
      <w:r>
        <w:rPr>
          <w:rFonts w:ascii="Times New Roman" w:eastAsia="MS Mincho" w:hAnsi="Times New Roman"/>
        </w:rPr>
        <w:t xml:space="preserve"> certificate of title to the BMW.</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Ryno admitted that he proposed the coin flip; however, he testified that it was in jest and the parties to the bet each knew that they were in jest from the other's facial expressions. Ryno sold Bavarian Motors, and after the sale of the dealership, its representatives requested that Tyra loan the BMW for display at an auto show. After the show, the BMW was returned to Bavarian Motors' premises where it was taken by Ryno. An employee of Bavarian Motors called Tyra and told him the BMW had been stolen. Ryno admitted taking the car from Bavarian Motors without permission on February 8 or 9, 1982 and later selling it to a third party.</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In addition to contending that the gamble was a jest, Ryno attempted by his testimony to tie the delivery of the BMW to Tyra as part of the consideration in a Canadian oil deal in which both he and the appellees were involved.</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The jury's answers to the issues submitted to it included findings: that Ryno intended to transfer to Tyra all of Ryno's ownership interest in the BMW at the time he delivered the documents, keys and possession of the BMW to Tyra; that the appellees' damages for the conversion were $125,000; that Ryno had acted with a malicious and conscious disregard for the rights of the appellees; and that appellees be awarded $10,000 in exemplary damages.</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lastRenderedPageBreak/>
        <w:t>Ryno claims that the trial court's judgment is erroneous because the evidence shows him to be the owner of the BMW, precluding him from converting it from another. Ryno [also argues] that the trial court's judgment is erroneous because it enforces a gambling contract.</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 xml:space="preserve">We overrule Ryno's point of error because we find there was sufficient evidence to sustain the jury finding that Ryno intended to transfer to Tyra Ryno's ownership interest in the BMW at the time he delivered the documents, keys, and possession of the automobile to Tyra.  See Floyd v. Patterson, 72 </w:t>
      </w:r>
      <w:smartTag w:uri="urn:schemas-microsoft-com:office:smarttags" w:element="State">
        <w:r>
          <w:rPr>
            <w:rFonts w:ascii="Times New Roman" w:eastAsia="MS Mincho" w:hAnsi="Times New Roman"/>
          </w:rPr>
          <w:t>Tex.</w:t>
        </w:r>
      </w:smartTag>
      <w:r>
        <w:rPr>
          <w:rFonts w:ascii="Times New Roman" w:eastAsia="MS Mincho" w:hAnsi="Times New Roman"/>
        </w:rPr>
        <w:t xml:space="preserve"> 202, 10 S.W. 526 (</w:t>
      </w:r>
      <w:smartTag w:uri="urn:schemas-microsoft-com:office:smarttags" w:element="place">
        <w:smartTag w:uri="urn:schemas-microsoft-com:office:smarttags" w:element="State">
          <w:r>
            <w:rPr>
              <w:rFonts w:ascii="Times New Roman" w:eastAsia="MS Mincho" w:hAnsi="Times New Roman"/>
            </w:rPr>
            <w:t>Tex.</w:t>
          </w:r>
        </w:smartTag>
      </w:smartTag>
      <w:r>
        <w:rPr>
          <w:rFonts w:ascii="Times New Roman" w:eastAsia="MS Mincho" w:hAnsi="Times New Roman"/>
        </w:rPr>
        <w:t xml:space="preserve"> 1888).  The elements necessary to establish a gift are delivery, acceptance, and intent.  A gift is a transfer of property made voluntarily and gratuitously.   Delivery and acceptance of the BMW are undisputed.  After considering all the evidence with regard to Ryno's intent to deliver possession of the BMW to Tyra, we are not persuaded that the evidence in support of a jury finding is so weak or the evidence to the contrary so overwhelming that the finding should be set aside and a new trial ordered. </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We agree with appellant that his wager with Tyra was unenforceable.  See Castilleja v. Camero, 414 S.W.2d 424, 427 (</w:t>
      </w:r>
      <w:smartTag w:uri="urn:schemas-microsoft-com:office:smarttags" w:element="place">
        <w:smartTag w:uri="urn:schemas-microsoft-com:office:smarttags" w:element="State">
          <w:r>
            <w:rPr>
              <w:rFonts w:ascii="Times New Roman" w:eastAsia="MS Mincho" w:hAnsi="Times New Roman"/>
            </w:rPr>
            <w:t>Tex.</w:t>
          </w:r>
        </w:smartTag>
      </w:smartTag>
      <w:r>
        <w:rPr>
          <w:rFonts w:ascii="Times New Roman" w:eastAsia="MS Mincho" w:hAnsi="Times New Roman"/>
        </w:rPr>
        <w:t xml:space="preserve"> 1967). The trial court could not have compelled Ryno to honor his wager by delivering the BMW to appellees. However, Ryno did deliver the BMW to appellees and the facts incident to that delivery are sufficient to establish a transfer by gift of the BMW from Ryno to the Tyras.</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We overrule Ryno's point of error because the jury finding of Ryno's intent to transfer ownership relieved the Tyras of relying upon a gambling contract as a basis of their cause of action for conversion.  The Tyras are seeking not the enforcement of a gambling contract, but rather damages for conversion of  property determined by the jury to be that of appellees.</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Ryno's also complains that there was no finding of the value of the automobile at the time and place of conversion sufficient to sustain the judgment.  In his argument, Ryno contends there was no proof of the automobile's market value. We disagree.  The jury found that $125,000 would fairly and reasonably compensate the Tyras for their damages resulting from the conversion of the BMW.  On cross-examination, Ryno qualified himself as one who could give an opinion as to the car's fair market value and testified that he thought it was worth $125,000 when he took it from the dealership after the auto show.  An employee of Bavarian Motors testified that the automobile's value was $125,000. We find that in the absence of any contest of the automobile's value, it was unnecessary for the trial court to submit an issue on compensatory damages.  Further, the damage issue as submitted was sufficient, particularly in light of Ryno's failure to request any instructions or definitions in connection with the issue.  Ryno's point of error is overruled.</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We also overrule Ryno's point of error which complains about the judgment award of exemplary damages because that point is based solely upon a claim that there is no finding of actual damages, an argument we have rejected.</w:t>
      </w:r>
    </w:p>
    <w:p w:rsidR="00032A5B" w:rsidRDefault="00032A5B" w:rsidP="00032A5B">
      <w:pPr>
        <w:pStyle w:val="PlainText"/>
        <w:rPr>
          <w:rFonts w:ascii="Times New Roman" w:eastAsia="MS Mincho" w:hAnsi="Times New Roman"/>
        </w:rPr>
      </w:pPr>
    </w:p>
    <w:p w:rsidR="00032A5B" w:rsidRDefault="00032A5B" w:rsidP="00032A5B">
      <w:pPr>
        <w:pStyle w:val="PlainText"/>
        <w:rPr>
          <w:rFonts w:ascii="Times New Roman" w:eastAsia="MS Mincho" w:hAnsi="Times New Roman"/>
        </w:rPr>
      </w:pPr>
      <w:r>
        <w:rPr>
          <w:rFonts w:ascii="Times New Roman" w:eastAsia="MS Mincho" w:hAnsi="Times New Roman"/>
        </w:rPr>
        <w:t>The judgment of the trial court is affirmed.</w:t>
      </w:r>
    </w:p>
    <w:p w:rsidR="00032A5B" w:rsidRDefault="00032A5B" w:rsidP="00032A5B">
      <w:pPr>
        <w:pStyle w:val="PlainText"/>
        <w:rPr>
          <w:sz w:val="32"/>
        </w:rPr>
      </w:pPr>
    </w:p>
    <w:p w:rsidR="00032A5B" w:rsidRPr="008B31FF" w:rsidRDefault="00032A5B" w:rsidP="00032A5B">
      <w:pPr>
        <w:ind w:left="1200" w:right="1200"/>
        <w:jc w:val="center"/>
        <w:rPr>
          <w:bCs/>
        </w:rPr>
      </w:pPr>
      <w:r>
        <w:rPr>
          <w:color w:val="000000"/>
        </w:rPr>
        <w:br w:type="page"/>
      </w:r>
      <w:r w:rsidRPr="008B31FF">
        <w:rPr>
          <w:bCs/>
        </w:rPr>
        <w:lastRenderedPageBreak/>
        <w:t>ZIVICH ET AL., APPELLANTS, v. MENTOR SOCCER CLUB, INC., APPELLEE</w:t>
      </w:r>
    </w:p>
    <w:p w:rsidR="00032A5B" w:rsidRPr="008B31FF" w:rsidRDefault="00032A5B" w:rsidP="00032A5B">
      <w:pPr>
        <w:rPr>
          <w:bCs/>
        </w:rPr>
      </w:pPr>
    </w:p>
    <w:p w:rsidR="00032A5B" w:rsidRPr="008B31FF" w:rsidRDefault="00032A5B" w:rsidP="00032A5B">
      <w:pPr>
        <w:ind w:left="1200" w:right="1200"/>
        <w:jc w:val="center"/>
        <w:rPr>
          <w:bCs/>
        </w:rPr>
      </w:pPr>
      <w:r w:rsidRPr="008B31FF">
        <w:rPr>
          <w:bCs/>
        </w:rPr>
        <w:t xml:space="preserve">Supreme Court </w:t>
      </w:r>
      <w:r>
        <w:rPr>
          <w:bCs/>
        </w:rPr>
        <w:t>o</w:t>
      </w:r>
      <w:r w:rsidRPr="008B31FF">
        <w:rPr>
          <w:bCs/>
        </w:rPr>
        <w:t xml:space="preserve">f </w:t>
      </w:r>
      <w:smartTag w:uri="urn:schemas-microsoft-com:office:smarttags" w:element="place">
        <w:smartTag w:uri="urn:schemas-microsoft-com:office:smarttags" w:element="State">
          <w:r w:rsidRPr="008B31FF">
            <w:rPr>
              <w:bCs/>
            </w:rPr>
            <w:t>Ohio</w:t>
          </w:r>
        </w:smartTag>
      </w:smartTag>
    </w:p>
    <w:p w:rsidR="00032A5B" w:rsidRPr="008B31FF" w:rsidRDefault="00032A5B" w:rsidP="00032A5B">
      <w:pPr>
        <w:rPr>
          <w:bCs/>
        </w:rPr>
      </w:pPr>
    </w:p>
    <w:p w:rsidR="00032A5B" w:rsidRPr="008B31FF" w:rsidRDefault="00032A5B" w:rsidP="00032A5B">
      <w:pPr>
        <w:ind w:left="1200" w:right="1200"/>
        <w:jc w:val="center"/>
        <w:rPr>
          <w:bCs/>
        </w:rPr>
      </w:pPr>
      <w:smartTag w:uri="urn:schemas-microsoft-com:office:smarttags" w:element="Street">
        <w:smartTag w:uri="urn:schemas-microsoft-com:office:smarttags" w:element="address">
          <w:r w:rsidRPr="008B31FF">
            <w:rPr>
              <w:bCs/>
            </w:rPr>
            <w:t>82 Ohio St.</w:t>
          </w:r>
        </w:smartTag>
      </w:smartTag>
      <w:r w:rsidRPr="008B31FF">
        <w:rPr>
          <w:bCs/>
        </w:rPr>
        <w:t xml:space="preserve"> 3d 367</w:t>
      </w:r>
    </w:p>
    <w:p w:rsidR="00032A5B" w:rsidRPr="008B31FF" w:rsidRDefault="00032A5B" w:rsidP="00032A5B">
      <w:pPr>
        <w:rPr>
          <w:bCs/>
        </w:rPr>
      </w:pPr>
    </w:p>
    <w:p w:rsidR="00032A5B" w:rsidRPr="008B31FF" w:rsidRDefault="00032A5B" w:rsidP="00032A5B">
      <w:pPr>
        <w:ind w:left="1200" w:right="1200"/>
        <w:jc w:val="center"/>
        <w:rPr>
          <w:bCs/>
        </w:rPr>
      </w:pPr>
      <w:smartTag w:uri="urn:schemas-microsoft-com:office:smarttags" w:element="date">
        <w:smartTagPr>
          <w:attr w:name="Year" w:val="1998"/>
          <w:attr w:name="Day" w:val="29"/>
          <w:attr w:name="Month" w:val="6"/>
          <w:attr w:name="ls" w:val="trans"/>
        </w:smartTagPr>
        <w:r w:rsidRPr="008B31FF">
          <w:rPr>
            <w:bCs/>
          </w:rPr>
          <w:t>June 29, 1998</w:t>
        </w:r>
      </w:smartTag>
      <w:r w:rsidRPr="008B31FF">
        <w:rPr>
          <w:bCs/>
        </w:rPr>
        <w:t xml:space="preserve">, Decided </w:t>
      </w:r>
    </w:p>
    <w:p w:rsidR="00032A5B" w:rsidRPr="008B31FF" w:rsidRDefault="00032A5B" w:rsidP="00032A5B">
      <w:pPr>
        <w:rPr>
          <w:b/>
          <w:bCs/>
        </w:rPr>
      </w:pPr>
    </w:p>
    <w:p w:rsidR="00032A5B" w:rsidRPr="008B31FF" w:rsidRDefault="00032A5B" w:rsidP="00032A5B">
      <w:pPr>
        <w:rPr>
          <w:b/>
          <w:bCs/>
        </w:rPr>
      </w:pPr>
    </w:p>
    <w:p w:rsidR="00032A5B" w:rsidRPr="008B31FF" w:rsidRDefault="00032A5B" w:rsidP="00032A5B">
      <w:r w:rsidRPr="008B31FF">
        <w:rPr>
          <w:bCs/>
        </w:rPr>
        <w:t xml:space="preserve">JUDGES: </w:t>
      </w:r>
      <w:r>
        <w:rPr>
          <w:bCs/>
        </w:rPr>
        <w:t xml:space="preserve"> </w:t>
      </w:r>
      <w:r w:rsidRPr="008B31FF">
        <w:t xml:space="preserve">FRANCIS E. SWEENEY, SR., J. MOYER, C.J., RESNICK, COOK and LUNDBERG STRATTON, JJ., concur. </w:t>
      </w:r>
      <w:r>
        <w:t xml:space="preserve"> </w:t>
      </w:r>
      <w:r w:rsidRPr="008B31FF">
        <w:t>DOUGLAS and PFEIFER, JJ., concur in judgment only.</w:t>
      </w:r>
      <w:r>
        <w:t xml:space="preserve">  </w:t>
      </w:r>
      <w:r w:rsidRPr="008B31FF">
        <w:t xml:space="preserve">COOK, J., concurring. </w:t>
      </w:r>
      <w:r>
        <w:t xml:space="preserve"> </w:t>
      </w:r>
      <w:r w:rsidRPr="008B31FF">
        <w:rPr>
          <w:bCs/>
        </w:rPr>
        <w:t>O</w:t>
      </w:r>
      <w:r>
        <w:rPr>
          <w:bCs/>
        </w:rPr>
        <w:t>pinion</w:t>
      </w:r>
      <w:r w:rsidRPr="008B31FF">
        <w:rPr>
          <w:bCs/>
        </w:rPr>
        <w:t xml:space="preserve"> </w:t>
      </w:r>
      <w:r>
        <w:rPr>
          <w:bCs/>
        </w:rPr>
        <w:t>by</w:t>
      </w:r>
      <w:r w:rsidRPr="008B31FF">
        <w:rPr>
          <w:bCs/>
        </w:rPr>
        <w:t>:</w:t>
      </w:r>
      <w:r w:rsidRPr="008B31FF">
        <w:t xml:space="preserve"> SWEENEY</w:t>
      </w:r>
    </w:p>
    <w:p w:rsidR="00032A5B" w:rsidRPr="008B31FF" w:rsidRDefault="00032A5B" w:rsidP="00032A5B">
      <w:pPr>
        <w:rPr>
          <w:b/>
        </w:rPr>
      </w:pPr>
    </w:p>
    <w:p w:rsidR="00032A5B" w:rsidRDefault="00032A5B" w:rsidP="00032A5B">
      <w:pPr>
        <w:spacing w:before="120"/>
      </w:pPr>
      <w:r>
        <w:t>We are asked to decide whether the exculpatory agreement executed by Mrs. Zivich on behalf of her minor son released the Club from liability for the minor child's claims and the parents' claims as a matter of law. We find that the exculpatory agreement is valid as to all claims. Summary judgment was appropriately entered in the Club's favor. The judgment of the court of appeals is affirmed. . . .</w:t>
      </w:r>
    </w:p>
    <w:p w:rsidR="00032A5B" w:rsidRDefault="00032A5B" w:rsidP="00032A5B">
      <w:pPr>
        <w:spacing w:before="120"/>
      </w:pPr>
      <w:r>
        <w:t xml:space="preserve">Appellants first argue that since [the soccer game] had concluded, the injury occurred outside the scope of the exculpatory agreement. We find this contention meritless. We quote, with approval, Judge Nader's majority opinion rejecting this argument: "It should not come as any great surprise for a parent to learn that, during a period of inactivity at a soccer practice, his or her child fiddled with loose equipment, climbed on nearby bleachers, or scaled the goal. It should be equally clear that coaches supervising the practices will not be able to completely prevent such unauthorized activity, as some degree of bedlam is unavoidable, when children of tender years are brought together to play a game, and when their emotions are aroused. The risk of a seven-year-old child climbing on a goal shortly after winning an intrasquad scrimmage is, therefore, a natural incident of his participation in soccer practice. Thus, </w:t>
      </w:r>
      <w:smartTag w:uri="urn:schemas-microsoft-com:office:smarttags" w:element="place">
        <w:smartTag w:uri="urn:schemas-microsoft-com:office:smarttags" w:element="City">
          <w:r>
            <w:t>Bryan</w:t>
          </w:r>
        </w:smartTag>
      </w:smartTag>
      <w:r>
        <w:t>'s injuries fall within the ambit of the release."</w:t>
      </w:r>
    </w:p>
    <w:p w:rsidR="00032A5B" w:rsidRDefault="00032A5B" w:rsidP="00032A5B">
      <w:pPr>
        <w:spacing w:before="120"/>
      </w:pPr>
      <w:r>
        <w:t>We next consider whether the release is valid. With respect to adult participants, the general rule is that releases from liability for injuries caused by negligent acts arising in the context of recreational activities are enforceable.  These holdings recognize the importance of individual autonomy and freedom of contract. Here, however, the exculpatory agreement was executed by a parent on behalf of the minor child.</w:t>
      </w:r>
    </w:p>
    <w:p w:rsidR="00032A5B" w:rsidRDefault="00032A5B" w:rsidP="00032A5B">
      <w:pPr>
        <w:spacing w:before="120"/>
      </w:pPr>
      <w:r>
        <w:t>Appellants contend that the release is invalid on public policy grounds. In support of their argument, they refer to the general principle that contracts entered into by a minor, unless for "necessaries," are voidable by the minor, once the age of majority is reached, or shortly thereafter. . . .  The Club argues that the proper focus is not whether the release violates public policy; but rather that public policy itself justifies the enforcement of this agreement.  This is also the position advocated by Judge Ford in his concurring opinion. We agree with the Club and Judge Ford.</w:t>
      </w:r>
    </w:p>
    <w:p w:rsidR="00032A5B" w:rsidRDefault="00032A5B" w:rsidP="00032A5B">
      <w:pPr>
        <w:spacing w:before="120"/>
      </w:pPr>
      <w:r>
        <w:t xml:space="preserve">The General Assembly has enacted statutes designed to encourage landowners to open their land to public use for recreational activities without fear of liability.  These provide that private  entities that hold land open for recreational use without charge are immune from tort liability for any injury caused by a recreational user. Then, in 1996, new statutes were enacted, effective </w:t>
      </w:r>
      <w:smartTag w:uri="urn:schemas-microsoft-com:office:smarttags" w:element="date">
        <w:smartTagPr>
          <w:attr w:name="Month" w:val="1"/>
          <w:attr w:name="Day" w:val="27"/>
          <w:attr w:name="Year" w:val="1997"/>
        </w:smartTagPr>
        <w:r>
          <w:t>January 27, 1997</w:t>
        </w:r>
      </w:smartTag>
      <w:r>
        <w:t>, which accord qualified immunity to unpaid athletic coaches and sponsors of athletic events. Hence, the General Assembly has articulated its intent of encouraging the sponsorship of sports activities and protecting volunteers. However, these statutes were enacted after this cause of action arose. Thus, our role is to render a decision that fills the gap left open before the effective date of the statutory enactments.</w:t>
      </w:r>
    </w:p>
    <w:p w:rsidR="00032A5B" w:rsidRDefault="00032A5B" w:rsidP="00032A5B">
      <w:pPr>
        <w:spacing w:before="120"/>
      </w:pPr>
      <w:r>
        <w:t>It cannot be disputed that volunteers in community recreational activities serve an important function. Organized recreational activities offer children the opportunity to learn valuable life skills. It is here that many children learn how to work as a team and how to operate within an organizational structure. Children also are given the chance to exercise and develop coordination skills. Due in great part to the assistance of volunteers, nonprofit organizations are able to offer these activities at minimal cost. In fact, the American Youth Soccer Organization pays only nineteen of its four hundred thousand staff members. The Little League pays only seventy of its 2.5 million members.  Clearly, without the work of its volunteers, these nonprofit organizations could not exist and scores of children would be without the benefit and enjoyment of organized sports. Yet, the threat of liability strongly deters many individuals from volunteering for nonprofit organizations.  Insurance for the organizations is not the answer, because individual volunteers may still find themselves potentially liable when an injury occurs. Thus, although volunteers offer their services without receiving any financial return, they place their personal assets at risk.</w:t>
      </w:r>
    </w:p>
    <w:p w:rsidR="00032A5B" w:rsidRDefault="00032A5B" w:rsidP="00032A5B">
      <w:pPr>
        <w:spacing w:before="120"/>
      </w:pPr>
      <w:r>
        <w:lastRenderedPageBreak/>
        <w:t>Therefore, faced with the very real threat of a lawsuit, and the potential for substantial damage awards, nonprofit organizations and their volunteers could very well decide that the risks are not worth the effort. Hence, invalidation of exculpatory agreements would reduce the number of activities made possible through the uncompensated services of volunteers and their sponsoring organizations.</w:t>
      </w:r>
    </w:p>
    <w:p w:rsidR="00032A5B" w:rsidRDefault="00032A5B" w:rsidP="00032A5B">
      <w:pPr>
        <w:spacing w:before="120"/>
      </w:pPr>
      <w:r>
        <w:t xml:space="preserve">Therefore, we conclude that although </w:t>
      </w:r>
      <w:smartTag w:uri="urn:schemas-microsoft-com:office:smarttags" w:element="place">
        <w:smartTag w:uri="urn:schemas-microsoft-com:office:smarttags" w:element="City">
          <w:r>
            <w:t>Bryan</w:t>
          </w:r>
        </w:smartTag>
      </w:smartTag>
      <w:r>
        <w:t xml:space="preserve">, like many children before him, gave up his right to sue for the negligent acts of others, the public as a whole received the benefit of these exculpatory agreements. Because of this agreement, the Club was able to offer affordable recreation and to continue to do so without the risks and overwhelming costs of litigation. </w:t>
      </w:r>
      <w:smartTag w:uri="urn:schemas-microsoft-com:office:smarttags" w:element="place">
        <w:smartTag w:uri="urn:schemas-microsoft-com:office:smarttags" w:element="City">
          <w:r>
            <w:t>Bryan</w:t>
          </w:r>
        </w:smartTag>
      </w:smartTag>
      <w:r>
        <w:t xml:space="preserve">'s parents agreed to shoulder the risk. Public policy does not forbid such an agreement. In fact, public policy supports it. Accordingly, we believe that public policy justifies giving parents authority to enter into these types of binding agreements on behalf of their minor children. We also believe that the enforcement of these agreements may well promote more active involvement by participants and their families, which, in turn, promotes the overall quality and safety of these activities. . . . </w:t>
      </w:r>
    </w:p>
    <w:p w:rsidR="00032A5B" w:rsidRDefault="00032A5B" w:rsidP="00032A5B">
      <w:pPr>
        <w:spacing w:before="120"/>
      </w:pPr>
      <w:r>
        <w:t xml:space="preserve">Based upon these protections, Judge Ford believes that many decisions made by parents "fall within the penumbra of parental authority, </w:t>
      </w:r>
      <w:r>
        <w:rPr>
          <w:i/>
          <w:iCs/>
        </w:rPr>
        <w:t>e.g.,</w:t>
      </w:r>
      <w:r>
        <w:t xml:space="preserve"> the school that the child will attend, the religion that the child will practice, the medical care that  the child will receive, and the manner in which the child will be disciplined." He found it notable that the law empowers a parent to consent to medical procedures for a minor child, gives a parent the general authority to decide to decline medical treatment for the child, and destroys the child's cause of action for battery when consent is given.  Thus, Judge Ford believes that invalidating the release as to the minor's claim is inconsistent with conferring other powers on parents to make important life choices for their children. . . . </w:t>
      </w:r>
    </w:p>
    <w:p w:rsidR="00032A5B" w:rsidRDefault="00032A5B" w:rsidP="00032A5B">
      <w:pPr>
        <w:spacing w:before="120"/>
      </w:pPr>
      <w:r>
        <w:t xml:space="preserve">When Mrs. Zivich signed the release she did so because she wanted </w:t>
      </w:r>
      <w:smartTag w:uri="urn:schemas-microsoft-com:office:smarttags" w:element="place">
        <w:smartTag w:uri="urn:schemas-microsoft-com:office:smarttags" w:element="City">
          <w:r>
            <w:t>Bryan</w:t>
          </w:r>
        </w:smartTag>
      </w:smartTag>
      <w:r>
        <w:t xml:space="preserve"> to play soccer. She made an important family decision and she assumed the risk of physical injury on behalf of her child and the financial risk on behalf of the family as a whole. Thus, her decision to release a volunteer on behalf of her child simply shifted the cost of injury to the parents. Apparently, she made a decision that the benefits to her child outweighed the risk of physical injury. Mrs. Zivich did her best to protect </w:t>
      </w:r>
      <w:smartTag w:uri="urn:schemas-microsoft-com:office:smarttags" w:element="place">
        <w:smartTag w:uri="urn:schemas-microsoft-com:office:smarttags" w:element="City">
          <w:r>
            <w:t>Bryan</w:t>
          </w:r>
        </w:smartTag>
      </w:smartTag>
      <w:r>
        <w:t xml:space="preserve">'s interests and we will not disturb her judgment. In fact, the situation is more analogous to </w:t>
      </w:r>
      <w:smartTag w:uri="urn:schemas-microsoft-com:office:smarttags" w:element="place">
        <w:smartTag w:uri="urn:schemas-microsoft-com:office:smarttags" w:element="State">
          <w:r>
            <w:t>Ohio</w:t>
          </w:r>
        </w:smartTag>
      </w:smartTag>
      <w:r>
        <w:t>'s informed consent law than to the law governing children's property rights. This statute gives parents the authority to consent to medical procedures on a child's behalf. In both cases, the parent weighs the risks of physical injury to the child and the attendant costs to herself against the benefits of a particular activity.</w:t>
      </w:r>
    </w:p>
    <w:p w:rsidR="00032A5B" w:rsidRDefault="00032A5B" w:rsidP="00032A5B">
      <w:pPr>
        <w:spacing w:before="120"/>
      </w:pPr>
      <w:r>
        <w:t>Therefore, we hold that parents have the authority to bind their minor children to exculpatory agreements in favor of volunteers and sponsors of nonprofit sport activities where the cause of action sounds in negligence. These agreements may not be disaffirmed by the child on whose behalf they were executed.</w:t>
      </w:r>
    </w:p>
    <w:p w:rsidR="00032A5B" w:rsidRDefault="00032A5B" w:rsidP="00032A5B">
      <w:pPr>
        <w:spacing w:before="120"/>
      </w:pPr>
      <w:r>
        <w:t xml:space="preserve">Having upheld the release agreement against </w:t>
      </w:r>
      <w:smartTag w:uri="urn:schemas-microsoft-com:office:smarttags" w:element="place">
        <w:smartTag w:uri="urn:schemas-microsoft-com:office:smarttags" w:element="City">
          <w:r>
            <w:t>Bryan</w:t>
          </w:r>
        </w:smartTag>
      </w:smartTag>
      <w:r>
        <w:t>'s claims, we find it also valid as to Mr. and Mrs. Zivich's claims for loss of consortium.  Mrs. Zivich, the signatory on the agreement, acknowledged that she had read its contents and did not ask any questions about it.  Parents may release their own claims growing out of injury to their minor children.  We adopt this rule of law, finding it consistent with principles of freedom of contract.  Thus, we hold that parents may release their own claims arising out of the injury to their minor children.  Accordingly, we find that Mrs. Zivich is barred from recovery as to her claims. . . .</w:t>
      </w:r>
    </w:p>
    <w:p w:rsidR="00032A5B" w:rsidRDefault="00032A5B" w:rsidP="00032A5B">
      <w:pPr>
        <w:spacing w:before="120"/>
      </w:pPr>
      <w:r>
        <w:t>As a separate ground for recovery, appellants also contend that the injury was caused by the Club's willful and wanton misconduct. . . . . We have held that while a participant in recreational activities can contract with the proprietor to relieve the proprietor from any damages or injuries he may negligently cause, the release is invalid as to willful and wanton misconduct.</w:t>
      </w:r>
    </w:p>
    <w:p w:rsidR="00032A5B" w:rsidRDefault="00032A5B" w:rsidP="00032A5B">
      <w:pPr>
        <w:spacing w:before="120"/>
      </w:pPr>
      <w:r>
        <w:t>To support this claim, appellants assert that the Club's former president, David Bolsen, attended a seminar just before his term of office ended. It was at the seminar that he learned of the need to anchor the goals and to post warning labels on them. Bolsen testified that because his term expired two weeks later, he only had time to relay the information to a few persons. However, no action was taken to secure the goals.  Appellants argue that Bolsen's failure to take more affirmative steps to ensure that the Club and the city implemented the safety recommendations amounts to willful and wanton misconduct.  Like the court of appeals, we reject this argument.</w:t>
      </w:r>
    </w:p>
    <w:p w:rsidR="00032A5B" w:rsidRDefault="00032A5B" w:rsidP="00032A5B">
      <w:pPr>
        <w:spacing w:before="120"/>
      </w:pPr>
      <w:r>
        <w:t xml:space="preserve">There is no evidence that the former president intended that </w:t>
      </w:r>
      <w:smartTag w:uri="urn:schemas-microsoft-com:office:smarttags" w:element="place">
        <w:smartTag w:uri="urn:schemas-microsoft-com:office:smarttags" w:element="City">
          <w:r>
            <w:t>Bryan</w:t>
          </w:r>
        </w:smartTag>
      </w:smartTag>
      <w:r>
        <w:t xml:space="preserve"> should be injured. Nor did the former president utterly fail to exercise any care whatsoever. Even accepting as true the appellants' claim that club officials knew about the safety problems but failed to act, this action does not amount to willful and wanton misconduct. As noted by the appellate court, "Park officials testified that the City never had anchored the goals in the past, and, apparently, of the thousands of young boys and girls playing soccer in the youth league throughout the years, no other child had been injured in this manner." </w:t>
      </w:r>
      <w:r>
        <w:lastRenderedPageBreak/>
        <w:t>Thus, reasonable minds could not conclude that the risk posed by the unanchored goal was so great as to require immediate remedial action.</w:t>
      </w:r>
    </w:p>
    <w:p w:rsidR="00032A5B" w:rsidRDefault="00032A5B" w:rsidP="00032A5B">
      <w:pPr>
        <w:spacing w:before="120"/>
      </w:pPr>
      <w:r>
        <w:t>Moreover, the evidence established that the city, not the Club, was responsible for the upkeep of the soccer fields and the purchase, storage, maintenance and placement of the soccer goals.</w:t>
      </w:r>
    </w:p>
    <w:p w:rsidR="00032A5B" w:rsidRDefault="00032A5B" w:rsidP="00032A5B">
      <w:pPr>
        <w:spacing w:before="120"/>
      </w:pPr>
      <w:r>
        <w:t>We find that appellants failed to produce sufficient evidence to present a jury question on the claim of willful and wanton misconduct.</w:t>
      </w:r>
    </w:p>
    <w:p w:rsidR="00032A5B" w:rsidRDefault="00032A5B" w:rsidP="00032A5B">
      <w:pPr>
        <w:spacing w:before="120"/>
      </w:pPr>
      <w:r>
        <w:t>Accordingly, we affirm the court of appeals' judgment, albeit on somewhat different grounds. We uphold its decision that the release is valid as to the parents' claims. However, we hold that the release is also valid as to the minor child's claim.</w:t>
      </w:r>
    </w:p>
    <w:p w:rsidR="00032A5B" w:rsidRDefault="00032A5B" w:rsidP="00032A5B">
      <w:pPr>
        <w:spacing w:before="120"/>
      </w:pPr>
    </w:p>
    <w:p w:rsidR="00032A5B" w:rsidRDefault="00032A5B" w:rsidP="00032A5B">
      <w:pPr>
        <w:spacing w:before="120"/>
      </w:pPr>
      <w:r>
        <w:rPr>
          <w:i/>
          <w:iCs/>
        </w:rPr>
        <w:t>Judgment affirmed.</w:t>
      </w:r>
      <w:r>
        <w:t xml:space="preserve"> </w:t>
      </w:r>
    </w:p>
    <w:p w:rsidR="00032A5B" w:rsidRDefault="00032A5B" w:rsidP="00032A5B">
      <w:pPr>
        <w:spacing w:before="120"/>
      </w:pPr>
    </w:p>
    <w:p w:rsidR="00032A5B" w:rsidRDefault="00032A5B" w:rsidP="00032A5B">
      <w:pPr>
        <w:spacing w:before="120"/>
      </w:pPr>
      <w:r>
        <w:t xml:space="preserve">MOYER, C.J., RESNICK, COOK and LUNDBERG STRATTON, JJ., concur. </w:t>
      </w:r>
    </w:p>
    <w:p w:rsidR="00032A5B" w:rsidRDefault="00032A5B" w:rsidP="00032A5B">
      <w:pPr>
        <w:spacing w:before="120"/>
      </w:pPr>
      <w:r>
        <w:t>DOUGLAS and PFEIFER, JJ., concur in judgment only.</w:t>
      </w:r>
    </w:p>
    <w:p w:rsidR="00032A5B" w:rsidRDefault="00032A5B" w:rsidP="00032A5B">
      <w:pPr>
        <w:spacing w:before="120"/>
      </w:pPr>
      <w:r>
        <w:t xml:space="preserve">COOK, J., concurring.  </w:t>
      </w:r>
    </w:p>
    <w:p w:rsidR="00032A5B" w:rsidRDefault="00032A5B" w:rsidP="00032A5B"/>
    <w:p w:rsidR="00032A5B" w:rsidRDefault="00032A5B" w:rsidP="00032A5B"/>
    <w:p w:rsidR="00032A5B" w:rsidRDefault="00032A5B" w:rsidP="00032A5B"/>
    <w:p w:rsidR="00032A5B" w:rsidRPr="00DF3567" w:rsidRDefault="00032A5B" w:rsidP="00032A5B">
      <w:r w:rsidRPr="00DF3567">
        <w:t>Footnotes</w:t>
      </w:r>
    </w:p>
    <w:p w:rsidR="00032A5B" w:rsidRPr="00DF3567" w:rsidRDefault="00032A5B" w:rsidP="00032A5B"/>
    <w:p w:rsidR="00032A5B" w:rsidRDefault="00032A5B" w:rsidP="00032A5B">
      <w:pPr>
        <w:ind w:left="600"/>
      </w:pPr>
      <w:r w:rsidRPr="00DF3567">
        <w:t>3 The words "release," "waiver" and "exculpatory agreement" have been used interchangeably by the courts. These defenses are based on contract principles. "Exculpatory agreements, also called 'releases' or 'waivers,' are basically written documents in which one party agrees to release, or 'exculpate,' another from potential tort liability for future con</w:t>
      </w:r>
      <w:r>
        <w:t>duct covered in the agreement."</w:t>
      </w:r>
    </w:p>
    <w:p w:rsidR="00837995" w:rsidRDefault="00837995" w:rsidP="00032A5B">
      <w:pPr>
        <w:ind w:left="600"/>
      </w:pPr>
    </w:p>
    <w:p w:rsidR="00837995" w:rsidRPr="00DF3567" w:rsidRDefault="00837995" w:rsidP="00032A5B">
      <w:pPr>
        <w:ind w:left="600"/>
      </w:pPr>
    </w:p>
    <w:p w:rsidR="008C51CD" w:rsidRDefault="00032A5B">
      <w:pPr>
        <w:spacing w:after="160" w:line="259" w:lineRule="auto"/>
        <w:rPr>
          <w:color w:val="000000"/>
        </w:rPr>
      </w:pPr>
      <w:r>
        <w:rPr>
          <w:color w:val="000000"/>
        </w:rPr>
        <w:br w:type="page"/>
      </w:r>
    </w:p>
    <w:p w:rsidR="00837995" w:rsidRPr="00597BC2" w:rsidRDefault="00837995" w:rsidP="00837995">
      <w:pPr>
        <w:ind w:left="1200" w:right="1200"/>
        <w:jc w:val="center"/>
        <w:rPr>
          <w:bCs/>
          <w:color w:val="000000" w:themeColor="text1"/>
        </w:rPr>
      </w:pPr>
      <w:r w:rsidRPr="00597BC2">
        <w:rPr>
          <w:bCs/>
          <w:color w:val="000000" w:themeColor="text1"/>
        </w:rPr>
        <w:lastRenderedPageBreak/>
        <w:t>FRANK KRYSA, et ux., Respondents, v. EMMETT PAYNE, et ux., Appellants.</w:t>
      </w:r>
    </w:p>
    <w:p w:rsidR="00837995" w:rsidRPr="00597BC2" w:rsidRDefault="00837995" w:rsidP="00837995">
      <w:pPr>
        <w:rPr>
          <w:bCs/>
          <w:color w:val="000000" w:themeColor="text1"/>
        </w:rPr>
      </w:pPr>
    </w:p>
    <w:p w:rsidR="00837995" w:rsidRPr="00597BC2" w:rsidRDefault="00837995" w:rsidP="00837995">
      <w:pPr>
        <w:ind w:left="1200" w:right="1200"/>
        <w:jc w:val="center"/>
        <w:rPr>
          <w:bCs/>
          <w:color w:val="000000" w:themeColor="text1"/>
        </w:rPr>
      </w:pPr>
      <w:r w:rsidRPr="00597BC2">
        <w:rPr>
          <w:bCs/>
          <w:color w:val="000000" w:themeColor="text1"/>
        </w:rPr>
        <w:t>COURT OF APPEALS OF MISSOURI, WESTERN DISTRICT</w:t>
      </w:r>
    </w:p>
    <w:p w:rsidR="00837995" w:rsidRPr="00597BC2" w:rsidRDefault="00837995" w:rsidP="00837995">
      <w:pPr>
        <w:rPr>
          <w:bCs/>
          <w:color w:val="000000" w:themeColor="text1"/>
        </w:rPr>
      </w:pPr>
    </w:p>
    <w:p w:rsidR="00837995" w:rsidRPr="00597BC2" w:rsidRDefault="00837995" w:rsidP="00837995">
      <w:pPr>
        <w:ind w:left="1200" w:right="1200"/>
        <w:jc w:val="center"/>
        <w:rPr>
          <w:bCs/>
          <w:color w:val="000000" w:themeColor="text1"/>
        </w:rPr>
      </w:pPr>
      <w:r w:rsidRPr="00597BC2">
        <w:rPr>
          <w:bCs/>
          <w:color w:val="000000" w:themeColor="text1"/>
        </w:rPr>
        <w:t>176 S.W.3d 150</w:t>
      </w:r>
    </w:p>
    <w:p w:rsidR="00837995" w:rsidRPr="00597BC2" w:rsidRDefault="00837995" w:rsidP="00837995">
      <w:pPr>
        <w:rPr>
          <w:bCs/>
          <w:color w:val="000000" w:themeColor="text1"/>
        </w:rPr>
      </w:pPr>
    </w:p>
    <w:p w:rsidR="00837995" w:rsidRPr="00597BC2" w:rsidRDefault="00837995" w:rsidP="00837995">
      <w:pPr>
        <w:ind w:left="1200" w:right="1200"/>
        <w:jc w:val="center"/>
        <w:rPr>
          <w:bCs/>
          <w:color w:val="000000" w:themeColor="text1"/>
        </w:rPr>
      </w:pPr>
      <w:r>
        <w:rPr>
          <w:bCs/>
          <w:color w:val="000000" w:themeColor="text1"/>
        </w:rPr>
        <w:t>November 15, 2005, Filed</w:t>
      </w:r>
    </w:p>
    <w:p w:rsidR="00837995" w:rsidRDefault="00837995" w:rsidP="00837995">
      <w:pPr>
        <w:rPr>
          <w:bCs/>
          <w:color w:val="000000" w:themeColor="text1"/>
        </w:rPr>
      </w:pPr>
    </w:p>
    <w:p w:rsidR="00837995" w:rsidRDefault="00837995" w:rsidP="00837995">
      <w:pPr>
        <w:rPr>
          <w:bCs/>
          <w:color w:val="000000" w:themeColor="text1"/>
        </w:rPr>
      </w:pPr>
    </w:p>
    <w:p w:rsidR="00837995" w:rsidRPr="00597BC2" w:rsidRDefault="00837995" w:rsidP="00837995">
      <w:pPr>
        <w:rPr>
          <w:color w:val="000000" w:themeColor="text1"/>
        </w:rPr>
      </w:pPr>
    </w:p>
    <w:p w:rsidR="00837995" w:rsidRPr="00597BC2" w:rsidRDefault="00837995" w:rsidP="00837995">
      <w:r w:rsidRPr="00597BC2">
        <w:rPr>
          <w:bCs/>
        </w:rPr>
        <w:t xml:space="preserve">JUDGES: </w:t>
      </w:r>
      <w:r>
        <w:rPr>
          <w:bCs/>
        </w:rPr>
        <w:t xml:space="preserve"> </w:t>
      </w:r>
      <w:r w:rsidRPr="00597BC2">
        <w:t>Robert G. Ulrich, Presiding Judge, Joseph M. Ellis, Judge and Thomas</w:t>
      </w:r>
      <w:r>
        <w:t xml:space="preserve"> H. Newton, Judge. All concur.</w:t>
      </w:r>
    </w:p>
    <w:p w:rsidR="00837995" w:rsidRPr="00597BC2" w:rsidRDefault="00837995" w:rsidP="00837995"/>
    <w:p w:rsidR="00837995" w:rsidRPr="00597BC2" w:rsidRDefault="00837995" w:rsidP="00837995">
      <w:r w:rsidRPr="00597BC2">
        <w:rPr>
          <w:bCs/>
        </w:rPr>
        <w:t xml:space="preserve">OPINION BY: </w:t>
      </w:r>
      <w:r>
        <w:rPr>
          <w:bCs/>
        </w:rPr>
        <w:t xml:space="preserve"> </w:t>
      </w:r>
      <w:r w:rsidRPr="00597BC2">
        <w:t>Joseph M. Ellis</w:t>
      </w:r>
    </w:p>
    <w:p w:rsidR="00837995" w:rsidRDefault="00837995" w:rsidP="00837995">
      <w:pPr>
        <w:spacing w:before="120"/>
      </w:pPr>
      <w:r w:rsidRPr="00597BC2">
        <w:t xml:space="preserve">Appellants Emmett and Terri Payne appeal from a judgment entered against them in favor of Respondents </w:t>
      </w:r>
      <w:r>
        <w:t>Frank and Shelly Krysa on Respondents' claims of fraudulent nondisclosure and fraudulent misrepresentation arising from Appellants' sale of a used truck to Respondents. The jury awarded Respondents $18,449.53 in actual damages and $500,000 in punitive damages. For the following reasons, we affirm the judgment.</w:t>
      </w:r>
    </w:p>
    <w:p w:rsidR="00837995" w:rsidRDefault="00837995" w:rsidP="00837995">
      <w:pPr>
        <w:spacing w:before="120"/>
      </w:pPr>
      <w:r>
        <w:t>In November 2000, Respondents were shopping for a truck to pull their 28-foot trailer. During the course of their search, they visited Payne's Car Company, a used car dealership owned and operated by Appellants. Appellants' salesperson, Kemp Crane, showed Respondents around the car lot. Respondents informed Crane that they were looking for a dependable truck that had room for their whole family and that could tow at least 8,000 pounds. Respondents did not find anything that interested them on the lot that day.</w:t>
      </w:r>
    </w:p>
    <w:p w:rsidR="00837995" w:rsidRDefault="00837995" w:rsidP="00837995">
      <w:pPr>
        <w:spacing w:before="120"/>
      </w:pPr>
      <w:r>
        <w:t>A few weeks later, Crane called Respondents and told them that he had a truck on the lot that he thought might meet their needs. Respondents went to the lot to look at that truck. While Respondents were not interested in the truck that Crane had called about, they noticed a 1991 Ford F-350 diesel, extended-cab truck running at the back of the lot that interested them. When asked why the engine was running, Crane told the Respondents that the battery was being charged. Crane told the Respondents that the truck was in perfect shape and that it would have no problem pulling an 8,000-pound load. Crane informed the Respondents that the truck would make it to 400,000 miles if they took care of it. Respondents took the truck on a test drive, but did not take it out on the highway. It seemed to drive fine on the test drive. Upon opening the hood, Mr. Krysa noticed that the hood was a different color than the rest of the truck. Crane said the different color was due to the fact that the truck had recently been repainted. Crane informed the Respondents that the truck was in their price range and would cost $9,900. He offered Respondents $1,500 for their trade-in.</w:t>
      </w:r>
    </w:p>
    <w:p w:rsidR="00837995" w:rsidRDefault="00837995" w:rsidP="00837995">
      <w:pPr>
        <w:spacing w:before="120"/>
      </w:pPr>
      <w:r>
        <w:t xml:space="preserve">The following day, Mr. Krysa went to the dealership and put down a deposit on the truck. The Respondents subsequently arranged for a loan from their credit union and borrowed an additional $1,400 from to purchase the truck. </w:t>
      </w:r>
    </w:p>
    <w:p w:rsidR="00837995" w:rsidRDefault="00837995" w:rsidP="00837995">
      <w:pPr>
        <w:spacing w:before="120"/>
      </w:pPr>
      <w:r>
        <w:t>On November 17, the Respondents returned to finalize their purchase of the truck. When they arrived, the engine on the truck was again running. Crane informed them that they had put some fuel in the truck and then left it running so that it would be warm for the Respondents because it was cold out that day. Crane also informed the Respondents that they had replaced the steering column because it had "frozen up". When Mrs. Krysa asked Crane where the truck had come from, Crane told her that it was "a one-owner trade-in from McCarthy." Respondents then paid for the truck and took possession of it, but the title to the truck was not provided to them at that time.</w:t>
      </w:r>
    </w:p>
    <w:p w:rsidR="00837995" w:rsidRDefault="00837995" w:rsidP="00837995">
      <w:pPr>
        <w:spacing w:before="120"/>
      </w:pPr>
      <w:r>
        <w:t xml:space="preserve">Later that day, Respondents noticed that the power locks did not work on the vehicle. A few days later, Mr. Krysa drove the truck to work, but it took him approximately three hours to get it started at the end of the day. Mr. Krysa also noticed that the heater was not working right. </w:t>
      </w:r>
    </w:p>
    <w:p w:rsidR="00837995" w:rsidRDefault="00837995" w:rsidP="00837995">
      <w:pPr>
        <w:spacing w:before="120"/>
      </w:pPr>
      <w:r>
        <w:t>Mr. Krysa bought a book about the truck and tried to fix the problems by disconnecting the power locking function and replacing the fuel pump. In the process of replacing the fuel pump, he noticed that the radiator was smashed up, the radiator cap did not have a seal, and the thermostat was missing. Mr. Krysa also noticed broken glass on the floor underneath the front seats and that the driver's side window had been replaced.</w:t>
      </w:r>
    </w:p>
    <w:p w:rsidR="00837995" w:rsidRDefault="00837995" w:rsidP="00837995">
      <w:pPr>
        <w:spacing w:before="120"/>
      </w:pPr>
      <w:r>
        <w:t>Shortly thereafter, Mr. Krysa attempted to tow his trailer from the lake back to their house. Within the first two miles, he had his foot almost to the floor trying to get the truck to pull the trailer and a large amount of smoke was pouring out of the back of the truck. Mr. Krysa had to turn around and return the trailer to the lake.</w:t>
      </w:r>
    </w:p>
    <w:p w:rsidR="00837995" w:rsidRDefault="00837995" w:rsidP="00837995">
      <w:pPr>
        <w:spacing w:before="120"/>
      </w:pPr>
      <w:r>
        <w:t>Mr. Krysa also noticed that the truck was consuming a lot of oil, requiring four quarts in the first 120 miles he drove it. In addition, the oil pressure decreased every time the gas pedal was depressed instead of increasing.</w:t>
      </w:r>
    </w:p>
    <w:p w:rsidR="00837995" w:rsidRDefault="00837995" w:rsidP="00837995">
      <w:pPr>
        <w:spacing w:before="120"/>
      </w:pPr>
      <w:r>
        <w:lastRenderedPageBreak/>
        <w:t>Mr. Krysa's brother-in-law suggested that Respondents obtain a "CARFAX" report for the truck. Upon obtaining that report, Respondents discovered that the truck had thirteen prior owners.</w:t>
      </w:r>
    </w:p>
    <w:p w:rsidR="00837995" w:rsidRDefault="00837995" w:rsidP="00837995">
      <w:pPr>
        <w:spacing w:before="120"/>
      </w:pPr>
      <w:r>
        <w:t>After receiving the CARFAX report, Mr. Krysa went back to the dealership to discuss the truck's problems and the CARFAX report with Mr. Payne. Upon examining the radiator, Mr. Payne stated that "it looked like it had been sabotaged to be sold." When Mr. Payne went for a ride in the truck with Mr. Krysa, the truck lacked power, spewed smoke, and the oil pressure decreased when the gas pedal was depressed. Mr. Payne acknowledged that the truck appeared to have been involved in a wreck. Mr. Payne told Mr. Krysa that he would allow Respondents to return the truck and credit the purchase price toward the purchase of one of his other vehicles, but would not return their money to them.  Respondents lacked the means to pay much more than the $9,900 they had paid for the F-350 and were unable to find any vehicle on the lot that met their needs that did not cost substantially more than that.</w:t>
      </w:r>
    </w:p>
    <w:p w:rsidR="00837995" w:rsidRDefault="00837995" w:rsidP="00837995">
      <w:pPr>
        <w:spacing w:before="120"/>
      </w:pPr>
      <w:r>
        <w:t>Subsequently, Respondents had the vehicle inspected by an automotive expert, Richard Diklich, who quickly discovered that the truck was actually two vehicles that had been welded together. Diklich advised Respondents to avoid</w:t>
      </w:r>
      <w:r>
        <w:rPr>
          <w:b/>
          <w:bCs/>
        </w:rPr>
        <w:t xml:space="preserve"> </w:t>
      </w:r>
      <w:r>
        <w:t>driving the vehicle because of safety concerns.</w:t>
      </w:r>
    </w:p>
    <w:p w:rsidR="00837995" w:rsidRDefault="00837995" w:rsidP="00837995">
      <w:pPr>
        <w:spacing w:before="120"/>
      </w:pPr>
      <w:r>
        <w:t>On February 1, 2001, Respondents filed a petition against Appellants in the Circuit Court of Jackson County asserting claims of fraudulent nondisclosure, fraudulent misrepresentation, violation of the Missouri Merchandising Practices Act, breach of the implied warranty of merchantability, and breach of the implied warranty of fitness for a particular purpose. The case was tried from May 10 to 14, 2004. The jury returned verdicts for Respondents on all of their claims. The jury awarded Respondents $18,449.53 in compensatory damages and $500,000 in punitive damages, and the trial court entered judgment against Appellants in that amount. Appellants appeal.</w:t>
      </w:r>
    </w:p>
    <w:p w:rsidR="00837995" w:rsidRDefault="00837995" w:rsidP="00837995">
      <w:pPr>
        <w:spacing w:before="120"/>
      </w:pPr>
    </w:p>
    <w:p w:rsidR="00837995" w:rsidRDefault="00837995" w:rsidP="00837995">
      <w:pPr>
        <w:spacing w:before="120"/>
      </w:pPr>
      <w:r>
        <w:t>In their first point, Appellants claim the trial court erred in denying their motion for new trial . . . because the award of $500,000 in punitive damages was so excessive as to violate their right to due process. Appellants contend that the amount of punitive damages awarded "bore no logical relation to the alleged actual harm and was the product of improper motives or a clear absence of the exercise of honest judgment by the jury."</w:t>
      </w:r>
    </w:p>
    <w:p w:rsidR="00837995" w:rsidRPr="00597BC2" w:rsidRDefault="00837995" w:rsidP="00837995">
      <w:pPr>
        <w:spacing w:before="120"/>
      </w:pPr>
      <w:r w:rsidRPr="00597BC2">
        <w:t xml:space="preserve">"The assessment of damages is primarily a function for the jury." </w:t>
      </w:r>
      <w:r>
        <w:t xml:space="preserve">. . . </w:t>
      </w:r>
      <w:r w:rsidRPr="00597BC2">
        <w:t>This Court must ordinarily "defer to the jury's and the trial judge's determination of damages because they are in much better positions than the appellate court to assess the credibility of damage witnesses and to determine the appropriate</w:t>
      </w:r>
      <w:r>
        <w:rPr>
          <w:bCs/>
        </w:rPr>
        <w:t xml:space="preserve"> </w:t>
      </w:r>
      <w:r w:rsidRPr="00597BC2">
        <w:t>compensation.</w:t>
      </w:r>
      <w:r>
        <w:t>"</w:t>
      </w:r>
    </w:p>
    <w:p w:rsidR="00837995" w:rsidRPr="00597BC2" w:rsidRDefault="00837995" w:rsidP="00837995">
      <w:pPr>
        <w:spacing w:before="120"/>
      </w:pPr>
      <w:r w:rsidRPr="00597BC2">
        <w:t>In this case, however, Appellants challenge the punitive damages awarded as being co</w:t>
      </w:r>
      <w:r>
        <w:t>nstitutionally excessive.</w:t>
      </w:r>
      <w:r w:rsidRPr="00597BC2">
        <w:t xml:space="preserve"> Punitive damages differ from compensatory damages in that "compensatory damages 'are intended to redress the concrete loss that the plaintiff has suffered by reason of the defendant's wrongful conduct,'" </w:t>
      </w:r>
      <w:r w:rsidRPr="00597BC2">
        <w:rPr>
          <w:bCs/>
          <w:i/>
          <w:iCs/>
        </w:rPr>
        <w:t>State Farm Mut. Auto. Ins. Co. v. Campbell</w:t>
      </w:r>
      <w:r w:rsidRPr="00597BC2">
        <w:t>, 538 U.S. 408, 416 (2003), while "the well-established purpose of punitive damages is to inflict punishment and to serve as an example and a</w:t>
      </w:r>
      <w:r>
        <w:t xml:space="preserve"> deterrent to similar conduct."</w:t>
      </w:r>
    </w:p>
    <w:p w:rsidR="00837995" w:rsidRPr="00597BC2" w:rsidRDefault="00837995" w:rsidP="00837995">
      <w:pPr>
        <w:spacing w:before="120"/>
      </w:pPr>
      <w:r w:rsidRPr="00597BC2">
        <w:t xml:space="preserve">The decision to punish a tortfeasor through an award of punitive damages "'is an exercise of state power that must comply with the Due Process Clause of the Fourteenth Amendment.'" </w:t>
      </w:r>
      <w:r>
        <w:t xml:space="preserve">. . .  </w:t>
      </w:r>
      <w:r w:rsidRPr="00597BC2">
        <w:t>In this appeal, Appellants contend that the verdict was so grossly excessive as to violate their right to Due Process.</w:t>
      </w:r>
    </w:p>
    <w:p w:rsidR="00837995" w:rsidRPr="00597BC2" w:rsidRDefault="00837995" w:rsidP="00837995">
      <w:pPr>
        <w:spacing w:before="120"/>
      </w:pPr>
      <w:r w:rsidRPr="00597BC2">
        <w:t xml:space="preserve">"The Due Process Clause of the Fourteenth Amendment prohibits the imposition of grossly excessive or arbitrary punishments on a tortfeasor." </w:t>
      </w:r>
      <w:r w:rsidRPr="00597BC2">
        <w:rPr>
          <w:bCs/>
          <w:i/>
          <w:iCs/>
        </w:rPr>
        <w:t>Campbell</w:t>
      </w:r>
      <w:r w:rsidRPr="00597BC2">
        <w:t>, 538 U.S. at 416</w:t>
      </w:r>
      <w:r>
        <w:t xml:space="preserve">: </w:t>
      </w:r>
      <w:r w:rsidRPr="00597BC2">
        <w:t>"To the extent an award is grossly excessive, it furthers no legitimate purpose and constitutes an arbi</w:t>
      </w:r>
      <w:r>
        <w:t>trary deprivation of property."</w:t>
      </w:r>
    </w:p>
    <w:p w:rsidR="00837995" w:rsidRDefault="00837995" w:rsidP="00837995">
      <w:pPr>
        <w:spacing w:before="120"/>
      </w:pPr>
      <w:r>
        <w:t xml:space="preserve">. . .  </w:t>
      </w:r>
      <w:r w:rsidRPr="00597BC2">
        <w:t>In determining whether the amount of a punitive award has crossed the line and is unconstitutionally excessive, the United States Supreme Court has "instructed courts evaluating a punitive damages award's consistency with due process to consider three criteria: (1) the degree of reprehensibility of the defendant's misconduct, (2) the disparity between the harm (or potential harm) suffered by the plaintiff and the punitive damages award, and (3) the difference between the punitive damages awarded by the jury and the civil penalties authorized o</w:t>
      </w:r>
      <w:r>
        <w:t>r imposed in comparable cases."</w:t>
      </w:r>
    </w:p>
    <w:p w:rsidR="00837995" w:rsidRPr="00597BC2" w:rsidRDefault="00E47022" w:rsidP="00837995">
      <w:pPr>
        <w:spacing w:before="120"/>
      </w:pPr>
      <w:r>
        <w:t xml:space="preserve">. . . . </w:t>
      </w:r>
      <w:r w:rsidR="00837995" w:rsidRPr="00597BC2">
        <w:t>We first consider the reprehensibility of Appellants' actions.</w:t>
      </w:r>
      <w:r w:rsidR="00837995">
        <w:t xml:space="preserve"> . . .  </w:t>
      </w:r>
      <w:r w:rsidR="00837995" w:rsidRPr="00597BC2">
        <w:t>While the damage actually sustained by Respondents was relatively small and was economic in nature, the record clearly supports a finding that Appellants acted indifferently to or in reckless disregard of the safety of Respondents in selling them a vehicle that they knew or should have known was not safe to drive and that the potential harm to the Respondents was much greater than the harm that was actually incurred.</w:t>
      </w:r>
      <w:r>
        <w:t xml:space="preserve"> . . . </w:t>
      </w:r>
    </w:p>
    <w:p w:rsidR="00837995" w:rsidRPr="00597BC2" w:rsidRDefault="00837995" w:rsidP="00837995">
      <w:pPr>
        <w:spacing w:before="120"/>
      </w:pPr>
      <w:r w:rsidRPr="00597BC2">
        <w:t xml:space="preserve">Respondents' automotive expert, Richard Diklich, testified that it would have been obvious to a person knowledgeable about inspecting automobiles, as Mr. Payne claimed to be, that the truck had been previously wrecked or had something major happen to it after conducting a brief visual inspection of the vehicle. Diklich stated that he noticed the hood had </w:t>
      </w:r>
      <w:r w:rsidRPr="00597BC2">
        <w:lastRenderedPageBreak/>
        <w:t xml:space="preserve">apparently been replaced, as it was red underneath and the core support was painted white, while the rest of the truck was brown. </w:t>
      </w:r>
      <w:r>
        <w:t xml:space="preserve">. . .  </w:t>
      </w:r>
      <w:r w:rsidRPr="00597BC2">
        <w:t>He testified that the welding was clearly a repair job and was poorly done, with wire whiskers sticking out, poor corrosion proofing, burn-through, and some holes. This observation led him to immediately conclude that the front end of the truck had been grafted onto the back end of another truck. Diklich stated that he also found that the VIN plate on the dashboard had been rewelded in place. He also found that one of the four big bolts and nuts that hold the cab down was missing.</w:t>
      </w:r>
    </w:p>
    <w:p w:rsidR="00837995" w:rsidRPr="00597BC2" w:rsidRDefault="00837995" w:rsidP="00837995">
      <w:pPr>
        <w:spacing w:before="120"/>
      </w:pPr>
      <w:r w:rsidRPr="00597BC2">
        <w:t>Diklich also testified that the repairs that had been made to the vehicle did not approach industry standards for repair and posed significant safety risks to occupants of the vehicle in the event of an accident. He stated that, in the event of a collision, there was a risk of the windshield becoming detached and that an even bigger concern was the truck's ability to withstand a roll-over crash or something like a tree limb landing on the roof. Diklich had advised Mr. Krysa to avoid driving the vehicle because of these safety concerns.</w:t>
      </w:r>
    </w:p>
    <w:p w:rsidR="00837995" w:rsidRPr="00597BC2" w:rsidRDefault="00837995" w:rsidP="00837995">
      <w:pPr>
        <w:spacing w:before="120"/>
      </w:pPr>
      <w:r w:rsidRPr="00597BC2">
        <w:t xml:space="preserve">In addition, Mr. Payne admitted that a dealer is required to disclose that a vehicle has been rebuilt if he is aware of that fact. </w:t>
      </w:r>
      <w:r w:rsidR="00E47022">
        <w:t xml:space="preserve">. . .  </w:t>
      </w:r>
      <w:r w:rsidRPr="00597BC2">
        <w:t xml:space="preserve">The record more than sufficiently supports an inference that Mr. Payne was aware that the truck had significant structural and mechanical problems or that he recklessly disregarded obvious signs of such problems. Such behavior was particularly reprehensible in light of the potential danger to the safety of his customers. </w:t>
      </w:r>
      <w:r>
        <w:t xml:space="preserve">. . . </w:t>
      </w:r>
      <w:r w:rsidRPr="00597BC2">
        <w:t>Thus, Appellants' conduct evinced an indifference to or a reckless disregard of the health and safety of others.</w:t>
      </w:r>
    </w:p>
    <w:p w:rsidR="00837995" w:rsidRPr="00597BC2" w:rsidRDefault="00837995" w:rsidP="00837995">
      <w:pPr>
        <w:spacing w:before="120"/>
      </w:pPr>
      <w:r w:rsidRPr="00597BC2">
        <w:t>Moreover, the record also supports a finding that this was not an isolated incident and was part of a larger pattern of behavior on the part of Appellants. The United States Sup</w:t>
      </w:r>
      <w:r>
        <w:t xml:space="preserve">reme Court has recognized that </w:t>
      </w:r>
      <w:r w:rsidRPr="00597BC2">
        <w:t xml:space="preserve">"'repeated misconduct is more reprehensible than an individual instance of malfeasance,'" and, therefore, "'a recidivist may be punished more severely than a first offender.'" </w:t>
      </w:r>
      <w:r w:rsidRPr="00597BC2">
        <w:rPr>
          <w:bCs/>
          <w:i/>
          <w:iCs/>
        </w:rPr>
        <w:t>Campbell</w:t>
      </w:r>
      <w:r w:rsidRPr="00597BC2">
        <w:t>, 538 U.S. at 423</w:t>
      </w:r>
      <w:r>
        <w:t>.</w:t>
      </w:r>
      <w:r w:rsidR="00E47022">
        <w:t xml:space="preserve"> . . . </w:t>
      </w:r>
    </w:p>
    <w:p w:rsidR="00837995" w:rsidRPr="00597BC2" w:rsidRDefault="00837995" w:rsidP="00837995">
      <w:pPr>
        <w:spacing w:before="120"/>
      </w:pPr>
      <w:r w:rsidRPr="00597BC2">
        <w:t>The evidence also supported a finding that the harm sustained by Respondents was the result of intentional malice, trickery, or deceit, and was not merely an accident. Mr. Payne had a significant amount of work done to the vehicle to make it appear to be in good shape. This included, among numerous other repairs, straightening both the bed and cab of the truck. Appellants' salesman, Kemp Crane, lied to Appellants on several occasions about the condition of the truck, its origin, and its capabilities.</w:t>
      </w:r>
      <w:r w:rsidR="00E47022">
        <w:t xml:space="preserve"> . . . </w:t>
      </w:r>
    </w:p>
    <w:p w:rsidR="00837995" w:rsidRPr="00597BC2" w:rsidRDefault="00837995" w:rsidP="00837995">
      <w:pPr>
        <w:spacing w:before="120"/>
      </w:pPr>
      <w:r w:rsidRPr="00597BC2">
        <w:t>In sum, wh</w:t>
      </w:r>
      <w:r>
        <w:t>ile the harm actually sustained</w:t>
      </w:r>
      <w:r w:rsidRPr="00597BC2">
        <w:t xml:space="preserve"> by Respondents in this case was economic as opposed to physical, Appellants' conduct did pose a significant risk to the physical welfare of Respondents and evinced an indifference to or reckless disregard of the health or safety of Respondents and the general public as well. Furthermore, the conduct was consistent with Appellants' regular business practices and was not an isolated incident, involved acts of intentional trickery and deceit, and targeted victims that were financially vulnerable. Thus, in society's eyes, viewing the totality of the circumstances, Appellants' conduct can only be seen as exhibiting a very high degree of reprehensibility.</w:t>
      </w:r>
    </w:p>
    <w:p w:rsidR="00837995" w:rsidRPr="00597BC2" w:rsidRDefault="00837995" w:rsidP="00837995">
      <w:pPr>
        <w:spacing w:before="120"/>
      </w:pPr>
      <w:r w:rsidRPr="00597BC2">
        <w:t>We next examine the second indicium o</w:t>
      </w:r>
      <w:r>
        <w:t xml:space="preserve">f an excessive punitive award: </w:t>
      </w:r>
      <w:r w:rsidRPr="00597BC2">
        <w:t xml:space="preserve">the ratio of the punitive award to the actual or potential harm to the plaintiff. The United States Supreme Court has "been reluctant to identify concrete constitutional limits on the ratio between harm, or potential harm, to the plaintiff and the punitive damages award," but has noted that "in practice, few awards exceeding a single-digit ratio between punitive and compensatory damages, to a significant degree, will satisfy due process." </w:t>
      </w:r>
      <w:r w:rsidRPr="00597BC2">
        <w:rPr>
          <w:bCs/>
          <w:i/>
          <w:iCs/>
        </w:rPr>
        <w:t>Campbell</w:t>
      </w:r>
      <w:r w:rsidRPr="00597BC2">
        <w:t>, 538 U.S. at 424-25. The Supreme Court has specifically noted, however, that "low awards of compensatory damages may properly support a higher ratio than high compensatory awards, if, for example, a particularly egregious act has resulted in only a sm</w:t>
      </w:r>
      <w:r>
        <w:t>all amount of economic damages.”</w:t>
      </w:r>
    </w:p>
    <w:p w:rsidR="00837995" w:rsidRPr="00597BC2" w:rsidRDefault="00837995" w:rsidP="00837995">
      <w:pPr>
        <w:spacing w:before="120"/>
      </w:pPr>
      <w:r w:rsidRPr="00597BC2">
        <w:t>Appellants contend that the ratio between the actual damages awarded, $18,449.53, and the punitive award, $500,000, is grossly excessive, in that the ratio of punitive to actual damages is approximatel</w:t>
      </w:r>
      <w:r w:rsidR="00E47022">
        <w:t>y 27:1</w:t>
      </w:r>
      <w:r w:rsidRPr="00597BC2">
        <w:t>.</w:t>
      </w:r>
      <w:r>
        <w:t xml:space="preserve"> . . .</w:t>
      </w:r>
    </w:p>
    <w:p w:rsidR="00837995" w:rsidRPr="00597BC2" w:rsidRDefault="00837995" w:rsidP="00837995">
      <w:pPr>
        <w:spacing w:before="120"/>
      </w:pPr>
      <w:r w:rsidRPr="00597BC2">
        <w:t>In this case, given the relatively small amount of actual damages awarded, the egregious nature of Appellants' acts, Appellants' open refusal to alter their behavior, and the magnitude of the potential harm that could have been sustained had the structural problems with the truck not been discovered by Respondents' expert, the ratio of the punitive to actual damages does not, in and</w:t>
      </w:r>
      <w:r>
        <w:t xml:space="preserve"> of it</w:t>
      </w:r>
      <w:r w:rsidR="00E47022">
        <w:t>self, offend due process. . . .</w:t>
      </w:r>
    </w:p>
    <w:p w:rsidR="00837995" w:rsidRPr="00597BC2" w:rsidRDefault="00837995" w:rsidP="00837995">
      <w:pPr>
        <w:spacing w:before="120"/>
      </w:pPr>
      <w:r w:rsidRPr="00597BC2">
        <w:t xml:space="preserve">Having carefully considered the factors set forth in </w:t>
      </w:r>
      <w:r w:rsidRPr="00597BC2">
        <w:rPr>
          <w:bCs/>
          <w:i/>
          <w:iCs/>
        </w:rPr>
        <w:t>Gore</w:t>
      </w:r>
      <w:r w:rsidRPr="00597BC2">
        <w:t>, we are simply not left with the impression that the jury's award was grossly excessive given the relatively small amount of actual damages awarded, the egregious nature of Appellants' acts, Appellants' pattern of engaging in similar behavior, Appellants' open refusal to alter their behavior, and the magnitude of the potential harm that cou</w:t>
      </w:r>
      <w:r>
        <w:t xml:space="preserve">ld have resulted. Point denied. . . . </w:t>
      </w:r>
    </w:p>
    <w:p w:rsidR="00837995" w:rsidRPr="00597BC2" w:rsidRDefault="00837995" w:rsidP="00837995">
      <w:pPr>
        <w:spacing w:before="120"/>
      </w:pPr>
      <w:r w:rsidRPr="00597BC2">
        <w:t>The judgment is affirmed.</w:t>
      </w:r>
      <w:r w:rsidR="000C7ACA" w:rsidRPr="000C7ACA">
        <w:t xml:space="preserve"> </w:t>
      </w:r>
      <w:r w:rsidR="000C7ACA">
        <w:t xml:space="preserve"> </w:t>
      </w:r>
      <w:r w:rsidR="000C7ACA" w:rsidRPr="00597BC2">
        <w:t>All concur.</w:t>
      </w:r>
    </w:p>
    <w:p w:rsidR="00837995" w:rsidRDefault="00837995" w:rsidP="000C7ACA">
      <w:pPr>
        <w:spacing w:before="120"/>
      </w:pPr>
    </w:p>
    <w:p w:rsidR="00CE668B" w:rsidRPr="00D16387" w:rsidRDefault="00837995" w:rsidP="000C7351">
      <w:pPr>
        <w:spacing w:after="160" w:line="259" w:lineRule="auto"/>
        <w:jc w:val="center"/>
        <w:rPr>
          <w:bCs/>
          <w:color w:val="000000" w:themeColor="text1"/>
        </w:rPr>
      </w:pPr>
      <w:r>
        <w:br w:type="page"/>
      </w:r>
      <w:r w:rsidR="00CE668B" w:rsidRPr="00D16387">
        <w:rPr>
          <w:bCs/>
          <w:color w:val="000000" w:themeColor="text1"/>
        </w:rPr>
        <w:lastRenderedPageBreak/>
        <w:t>WELLS FARGO CREDIT CORPORATION, Appellant, v. HARLEY E. MARTIN, Appellee.</w:t>
      </w:r>
    </w:p>
    <w:p w:rsidR="00CE668B" w:rsidRPr="00D16387" w:rsidRDefault="00CE668B" w:rsidP="00CE668B">
      <w:pPr>
        <w:rPr>
          <w:bCs/>
          <w:color w:val="000000" w:themeColor="text1"/>
        </w:rPr>
      </w:pPr>
    </w:p>
    <w:p w:rsidR="00CE668B" w:rsidRPr="00D16387" w:rsidRDefault="00CE668B" w:rsidP="00CE668B">
      <w:pPr>
        <w:ind w:left="1200" w:right="1200"/>
        <w:jc w:val="center"/>
        <w:rPr>
          <w:bCs/>
          <w:color w:val="000000" w:themeColor="text1"/>
        </w:rPr>
      </w:pPr>
      <w:r w:rsidRPr="00D16387">
        <w:rPr>
          <w:bCs/>
          <w:color w:val="000000" w:themeColor="text1"/>
        </w:rPr>
        <w:t>COURT OF APPEAL OF FLORIDA, SECOND DISTRICT</w:t>
      </w:r>
    </w:p>
    <w:p w:rsidR="00CE668B" w:rsidRPr="00D16387" w:rsidRDefault="00CE668B" w:rsidP="00CE668B">
      <w:pPr>
        <w:rPr>
          <w:bCs/>
          <w:color w:val="000000" w:themeColor="text1"/>
        </w:rPr>
      </w:pPr>
    </w:p>
    <w:p w:rsidR="00CE668B" w:rsidRPr="00D16387" w:rsidRDefault="00CE668B" w:rsidP="00CE668B">
      <w:pPr>
        <w:ind w:left="1200" w:right="1200"/>
        <w:jc w:val="center"/>
        <w:rPr>
          <w:bCs/>
          <w:color w:val="000000" w:themeColor="text1"/>
        </w:rPr>
      </w:pPr>
      <w:r w:rsidRPr="00D16387">
        <w:rPr>
          <w:bCs/>
          <w:color w:val="000000" w:themeColor="text1"/>
        </w:rPr>
        <w:t>605 So. 2d 531</w:t>
      </w:r>
    </w:p>
    <w:p w:rsidR="00CE668B" w:rsidRPr="00D16387" w:rsidRDefault="00CE668B" w:rsidP="00CE668B">
      <w:pPr>
        <w:rPr>
          <w:bCs/>
          <w:color w:val="000000" w:themeColor="text1"/>
        </w:rPr>
      </w:pPr>
    </w:p>
    <w:p w:rsidR="00CE668B" w:rsidRPr="00D16387" w:rsidRDefault="00CE668B" w:rsidP="00CE668B">
      <w:pPr>
        <w:ind w:left="1200" w:right="1200"/>
        <w:jc w:val="center"/>
        <w:rPr>
          <w:bCs/>
          <w:color w:val="000000" w:themeColor="text1"/>
        </w:rPr>
      </w:pPr>
      <w:r>
        <w:rPr>
          <w:bCs/>
          <w:color w:val="000000" w:themeColor="text1"/>
        </w:rPr>
        <w:t>September 16, 1992, Filed</w:t>
      </w:r>
    </w:p>
    <w:p w:rsidR="00CE668B" w:rsidRPr="00D16387" w:rsidRDefault="00CE668B" w:rsidP="00CE668B">
      <w:pPr>
        <w:rPr>
          <w:bCs/>
          <w:color w:val="000000" w:themeColor="text1"/>
        </w:rPr>
      </w:pPr>
    </w:p>
    <w:p w:rsidR="00CE668B" w:rsidRPr="00D16387" w:rsidRDefault="00CE668B" w:rsidP="00CE668B">
      <w:pPr>
        <w:rPr>
          <w:color w:val="000000" w:themeColor="text1"/>
        </w:rPr>
      </w:pPr>
    </w:p>
    <w:p w:rsidR="00CE668B" w:rsidRPr="00D16387" w:rsidRDefault="00CE668B" w:rsidP="00CE668B">
      <w:r w:rsidRPr="00D16387">
        <w:rPr>
          <w:bCs/>
          <w:color w:val="000000" w:themeColor="text1"/>
        </w:rPr>
        <w:t>PRIOR HIST</w:t>
      </w:r>
      <w:r w:rsidRPr="00D16387">
        <w:rPr>
          <w:bCs/>
        </w:rPr>
        <w:t xml:space="preserve">ORY: </w:t>
      </w:r>
      <w:r w:rsidRPr="00D16387">
        <w:t xml:space="preserve">Appeal from the Circuit Court for Hillsborough County; Richard A. Lazzara, Judge.  </w:t>
      </w:r>
    </w:p>
    <w:p w:rsidR="00CE668B" w:rsidRPr="00D16387" w:rsidRDefault="00CE668B" w:rsidP="00CE668B"/>
    <w:p w:rsidR="00CE668B" w:rsidRPr="00D16387" w:rsidRDefault="00CE668B" w:rsidP="00CE668B">
      <w:r w:rsidRPr="00D16387">
        <w:rPr>
          <w:bCs/>
        </w:rPr>
        <w:t>DISPOSITION:</w:t>
      </w:r>
      <w:r w:rsidRPr="00D16387">
        <w:t xml:space="preserve"> Affirmed.  </w:t>
      </w:r>
    </w:p>
    <w:p w:rsidR="00CE668B" w:rsidRDefault="00CE668B" w:rsidP="00CE668B"/>
    <w:p w:rsidR="00CE668B" w:rsidRPr="00D16387" w:rsidRDefault="00CE668B" w:rsidP="00CE668B">
      <w:r w:rsidRPr="00D16387">
        <w:rPr>
          <w:bCs/>
        </w:rPr>
        <w:t xml:space="preserve">JUDGES: </w:t>
      </w:r>
      <w:r>
        <w:rPr>
          <w:bCs/>
        </w:rPr>
        <w:t xml:space="preserve"> </w:t>
      </w:r>
      <w:r w:rsidRPr="00D16387">
        <w:t xml:space="preserve">ALTENBERND, HALL, CASE </w:t>
      </w:r>
    </w:p>
    <w:p w:rsidR="00CE668B" w:rsidRPr="00D16387" w:rsidRDefault="00CE668B" w:rsidP="00CE668B"/>
    <w:p w:rsidR="00CE668B" w:rsidRDefault="00CE668B" w:rsidP="00CE668B">
      <w:pPr>
        <w:rPr>
          <w:bCs/>
        </w:rPr>
      </w:pPr>
    </w:p>
    <w:p w:rsidR="00CE668B" w:rsidRDefault="00CE668B" w:rsidP="00CE668B">
      <w:r w:rsidRPr="00D16387">
        <w:rPr>
          <w:bCs/>
        </w:rPr>
        <w:t xml:space="preserve">OPINION BY: </w:t>
      </w:r>
      <w:r>
        <w:t>ALTENBERND, Judge.</w:t>
      </w:r>
    </w:p>
    <w:p w:rsidR="00CE668B" w:rsidRDefault="00CE668B" w:rsidP="00CE668B">
      <w:pPr>
        <w:spacing w:before="120"/>
      </w:pPr>
      <w:r>
        <w:t xml:space="preserve">In these consolidated cases, Wells Fargo Credit Corporation (Wells Fargo) appeals an order denying its motion to set aside a judicial sale and an order denying its motion for relief from judgment.  Essentially, both motions sought relief from the judicial sale because an avoidable, unilateral mistake by Wells Fargo's agent resulted in a grossly inadequate sales price.  For the reasons stated below, we affirm the trial court's exercise of discretion. </w:t>
      </w:r>
    </w:p>
    <w:p w:rsidR="00CE668B" w:rsidRDefault="00CE668B" w:rsidP="00CE668B">
      <w:pPr>
        <w:spacing w:before="120"/>
      </w:pPr>
      <w:r>
        <w:t xml:space="preserve">Wells Fargo obtained a judgment of foreclosure on a house owned by Mr. and Mrs. Clevenger.  The total indebtedness stated in the judgment was $207,141.00.  The foreclosure sale was scheduled for 11:00 a.m. on July 12, 1991, at the west front door of the Hillsborough County Courthouse. </w:t>
      </w:r>
    </w:p>
    <w:p w:rsidR="00CE668B" w:rsidRDefault="00CE668B" w:rsidP="00CE668B">
      <w:pPr>
        <w:spacing w:before="120"/>
      </w:pPr>
      <w:r>
        <w:t>Wells Fargo was represented at this sale by a paralegal employed by its attorney.  There is no dispute that the paralegal was experienced with public foreclosure sales and had attended more than one thousand similar sales.  She arrived before the sale began and had ample time to prepare for this sale.  She brought a form document that had been prepared either by Wells Fargo or its attorneys, containing specific information and instructions for this sale.  The instructions informed her to make one bid of $ 115,500.00.  This was the tax-appraised value of the property after deducting the homestead exemption.  Unfortunately, the form was filled in by hand, and the handwriting was not very clear.  The first "1" in the number was close to the "$ " and slightly separated from the "15,500.00." The paralegal misread the bid instruction as $ 15,500.00.  This sale was the fourteenth sale on the docket, and the paralegal opened the bidding at $ 15,500.00.</w:t>
      </w:r>
    </w:p>
    <w:p w:rsidR="00CE668B" w:rsidRDefault="00CE668B" w:rsidP="00CE668B">
      <w:pPr>
        <w:spacing w:before="120"/>
      </w:pPr>
      <w:r>
        <w:t xml:space="preserve">Mr.  Harley Martin also attended this sale.  He lived near the Clevenger house.  His own house had recently sustained severe fire damage, and he needed a new home. This was the first such foreclosure sale he had ever attended. After the paralegal announced her bid, he bid $ 20,000.00.  The court clerk checked to make certain Mr. Martin had prepared the required bid information sheet for the clerk's office.  After confirming that Mr. Martin was qualified to bid, the clerk gave ample opportunity for another bid and then announced: "$ 20,000.00 going once, $ 20,000.00 going twice, sold to Harley --" </w:t>
      </w:r>
    </w:p>
    <w:p w:rsidR="00CE668B" w:rsidRDefault="00CE668B" w:rsidP="00CE668B">
      <w:pPr>
        <w:spacing w:before="120"/>
      </w:pPr>
      <w:r>
        <w:t xml:space="preserve">Just after the clerk announced "sold," the paralegal screamed: "Stop, I have another bid," or "Stop, I'm sorry I made a mistake." When Mr. Martin indicated that he was content to keep his new home, the clerk took the matter to a circuit court judge.  After confirming that the clerk had announced "sold," the judge ordered the clerk to issue the certificate of sale. </w:t>
      </w:r>
      <w:r>
        <w:rPr>
          <w:sz w:val="16"/>
          <w:szCs w:val="16"/>
          <w:vertAlign w:val="superscript"/>
        </w:rPr>
        <w:t>1</w:t>
      </w:r>
    </w:p>
    <w:p w:rsidR="00CE668B" w:rsidRDefault="00CE668B" w:rsidP="00CE668B"/>
    <w:p w:rsidR="00CE668B" w:rsidRDefault="00CE668B" w:rsidP="00CE668B">
      <w:pPr>
        <w:ind w:left="600"/>
        <w:rPr>
          <w:sz w:val="16"/>
          <w:szCs w:val="16"/>
        </w:rPr>
      </w:pPr>
      <w:r>
        <w:rPr>
          <w:sz w:val="16"/>
          <w:szCs w:val="16"/>
          <w:vertAlign w:val="superscript"/>
        </w:rPr>
        <w:t>1</w:t>
      </w:r>
      <w:r>
        <w:rPr>
          <w:sz w:val="16"/>
          <w:szCs w:val="16"/>
        </w:rPr>
        <w:t xml:space="preserve"> This opinion primarily relies upon the incident as recalled by the court clerk. The record contains evidence from one spectator who believes that the clerk had completed her announcement of the sale and that the paralegal did not object for another ten to fifteen seconds.  The result in this case would be the same under either version. </w:t>
      </w:r>
    </w:p>
    <w:p w:rsidR="00CE668B" w:rsidRDefault="00CE668B" w:rsidP="00CE668B"/>
    <w:p w:rsidR="00CE668B" w:rsidRDefault="00CE668B" w:rsidP="00CE668B">
      <w:pPr>
        <w:spacing w:before="120"/>
      </w:pPr>
      <w:r>
        <w:t xml:space="preserve">Wells Fargo filed a motion to set aside the judicial sale. A hearing was held in which the paralegal explained her actions, as did the court clerk, other witnesses, and Mr. Martin. The court considered evidence appraising the house at an amount well in excess of the $ 115,500.00 that Wells Fargo had planned to bid.  The trial court found that the $20,000.00 bid was grossly inadequate, but that there was no evidence of fraud or any type of misconduct on the part of Mr. Martin.  Relying upon our recent decision in </w:t>
      </w:r>
      <w:r>
        <w:rPr>
          <w:i/>
          <w:iCs/>
        </w:rPr>
        <w:t>Sulkowski v. Sulkowski,</w:t>
      </w:r>
      <w:r>
        <w:t xml:space="preserve"> 561 So. 2d 416 (Fla. 2d DCA 1990), the trial court declined to set the sale aside. </w:t>
      </w:r>
    </w:p>
    <w:p w:rsidR="00CE668B" w:rsidRDefault="00CE668B" w:rsidP="00CE668B">
      <w:pPr>
        <w:spacing w:before="120"/>
      </w:pPr>
      <w:r>
        <w:lastRenderedPageBreak/>
        <w:t xml:space="preserve">We accept the trial court's conclusion that the amount of the sale was grossly inadequate.  This inadequacy, however, occurred due to an avoidable, unilateral mistake by an agent of Wells Fargo.  As between Wells Fargo and a good faith purchaser at the judicial sale, the trial court had the discretion to place the risk of this mistake upon Wells Fargo.  </w:t>
      </w:r>
      <w:r>
        <w:rPr>
          <w:i/>
          <w:iCs/>
        </w:rPr>
        <w:t>Sulkowski.</w:t>
      </w:r>
      <w:r>
        <w:t xml:space="preserve"> Thus, we affirm the trial court's orders denying relief to Wells Fargo. </w:t>
      </w:r>
    </w:p>
    <w:p w:rsidR="00CE668B" w:rsidRDefault="00CE668B" w:rsidP="00CE668B">
      <w:pPr>
        <w:spacing w:before="120"/>
      </w:pPr>
      <w:r>
        <w:t xml:space="preserve">We are certain that this result seems harsh to Wells Fargo.  Nevertheless, Mr. Martin's bid was accepted when the clerk announced "sold." </w:t>
      </w:r>
      <w:r>
        <w:rPr>
          <w:i/>
          <w:iCs/>
        </w:rPr>
        <w:t>Coker v. Dawkins,</w:t>
      </w:r>
      <w:r>
        <w:t xml:space="preserve"> 20 Fla. 141 (1883). Therefore, his rights under the contract of sale vested at that moment and could only be taken from him by an order setting aside the sale. </w:t>
      </w:r>
    </w:p>
    <w:p w:rsidR="00CE668B" w:rsidRDefault="00CE668B" w:rsidP="00CE668B">
      <w:pPr>
        <w:spacing w:before="120"/>
      </w:pPr>
      <w:r>
        <w:t xml:space="preserve">The well-established rule concerning inadequacy of price at a judicial sale was stated in </w:t>
      </w:r>
      <w:r>
        <w:rPr>
          <w:i/>
          <w:iCs/>
        </w:rPr>
        <w:t>Arlt v. Buchanan,</w:t>
      </w:r>
      <w:r>
        <w:t xml:space="preserve"> 190 So. 2d 575 (Fla. 1966): </w:t>
      </w:r>
    </w:p>
    <w:p w:rsidR="00CE668B" w:rsidRDefault="00CE668B" w:rsidP="00CE668B">
      <w:r>
        <w:t xml:space="preserve"> </w:t>
      </w:r>
    </w:p>
    <w:p w:rsidR="00CE668B" w:rsidRDefault="00CE668B" w:rsidP="000C7351">
      <w:pPr>
        <w:ind w:left="600" w:right="600"/>
      </w:pPr>
      <w:r>
        <w:rPr>
          <w:sz w:val="16"/>
          <w:szCs w:val="16"/>
        </w:rPr>
        <w:t xml:space="preserve">The general rule is, of course, that standing alone mere inadequacy of price is not a ground for setting aside a judicial sale. But where the inadequacy is gross and is shown to result from any mistake, accident, surprise, fraud, misconduct or irregularity upon the part of either the purchaser or other person connected with the sale, with resulting injustice to the complaining party, equity will act to prevent the wrong result. </w:t>
      </w:r>
    </w:p>
    <w:p w:rsidR="000C7351" w:rsidRDefault="000C7351" w:rsidP="000C7351">
      <w:pPr>
        <w:ind w:left="600" w:right="600"/>
      </w:pPr>
    </w:p>
    <w:p w:rsidR="00CE668B" w:rsidRDefault="00CE668B" w:rsidP="00CE668B">
      <w:pPr>
        <w:spacing w:before="120"/>
      </w:pPr>
      <w:r>
        <w:t xml:space="preserve">Although the paralegal's error may qualify as "any mistake," this court has never applied </w:t>
      </w:r>
      <w:r>
        <w:rPr>
          <w:i/>
          <w:iCs/>
        </w:rPr>
        <w:t>Arlt</w:t>
      </w:r>
      <w:r>
        <w:t xml:space="preserve"> to reverse an order denying a motion to set aside a sale when the mistake was unilaterally committed by the complaining party. In </w:t>
      </w:r>
      <w:r>
        <w:rPr>
          <w:i/>
          <w:iCs/>
        </w:rPr>
        <w:t>Sulkowski,</w:t>
      </w:r>
      <w:r>
        <w:t xml:space="preserve"> the court reversed an order granting a motion to set aside judicial sale. The opinion in </w:t>
      </w:r>
      <w:r>
        <w:rPr>
          <w:i/>
          <w:iCs/>
        </w:rPr>
        <w:t>Sulkowski</w:t>
      </w:r>
      <w:r>
        <w:t xml:space="preserve"> is based on two alternate grounds because the trial court had not explained the reasons for setting aside the sale.  We held that the record did not establish the sale price was grossly inadequate.  Alternatively, assuming the trial court could have found inadequacy, we held that the trial court abused its discretion because the only mistake occurred when the complaining party unilaterally misunderstood the statutes requiring a deposit for the sale.  As in this case, the successful bidder had committed no act of surprise, fraud, misconduct, or other irregularity. We concluded that such ignorance of the law by the complaining party was not a basis that gave the trial court discretion to set aside a judicial sale. </w:t>
      </w:r>
      <w:r>
        <w:rPr>
          <w:i/>
          <w:iCs/>
        </w:rPr>
        <w:t>See also American Nat'l Bank v. Lau,</w:t>
      </w:r>
      <w:r>
        <w:t xml:space="preserve"> 268 So. 2d 567 (Fla. 2d DCA 1972) (holding that plaintiff's allegation that she was prevented from attending sale because of her incompetence could not be basis for setting aside sale where there was no evidence of fraud or overreaching on defendants' part and plaintiff was not declared incompetent until well after the sale), </w:t>
      </w:r>
      <w:r>
        <w:rPr>
          <w:i/>
          <w:iCs/>
        </w:rPr>
        <w:t>cert. denied,</w:t>
      </w:r>
      <w:r>
        <w:t xml:space="preserve"> 273 So. 2d 81 (Fla. 1973).</w:t>
      </w:r>
    </w:p>
    <w:p w:rsidR="00CE668B" w:rsidRDefault="00CE668B" w:rsidP="00CE668B">
      <w:pPr>
        <w:spacing w:before="120"/>
      </w:pPr>
      <w:r>
        <w:t xml:space="preserve">Only Wells Fargo or its agent has been harmed by this sale. Without ruling that a unilateral mistake by the complaining party could never justify relief, we hold that the trial court had the discretion under these facts to make Wells Fargo suffer the loss for its agent's mistake. </w:t>
      </w:r>
    </w:p>
    <w:p w:rsidR="00CE668B" w:rsidRDefault="00CE668B" w:rsidP="00CE668B">
      <w:pPr>
        <w:spacing w:before="120"/>
      </w:pPr>
      <w:r>
        <w:t xml:space="preserve">Our decision is supported by the Fourth District's decision in </w:t>
      </w:r>
      <w:r>
        <w:rPr>
          <w:i/>
          <w:iCs/>
        </w:rPr>
        <w:t>John Crescent, Inc. v. Schwartz,</w:t>
      </w:r>
      <w:r>
        <w:t xml:space="preserve"> 382 So. 2d 383 (Fla. 4th DCA), </w:t>
      </w:r>
      <w:r>
        <w:rPr>
          <w:i/>
          <w:iCs/>
        </w:rPr>
        <w:t>cert. denied,</w:t>
      </w:r>
      <w:r>
        <w:t xml:space="preserve"> 389 So. 2d 1113 (Fla. 1980). That court reversed an order setting aside a sale when a couple did not attend the sale because the wife had simply thrown away the foreclosure papers.  The court followed </w:t>
      </w:r>
      <w:r>
        <w:rPr>
          <w:i/>
          <w:iCs/>
        </w:rPr>
        <w:t>Lau</w:t>
      </w:r>
      <w:r>
        <w:t xml:space="preserve"> and stated: </w:t>
      </w:r>
    </w:p>
    <w:p w:rsidR="00CE668B" w:rsidRDefault="00CE668B" w:rsidP="00CE668B"/>
    <w:p w:rsidR="00CE668B" w:rsidRDefault="00CE668B" w:rsidP="000C7351">
      <w:pPr>
        <w:ind w:left="600" w:right="600"/>
        <w:rPr>
          <w:sz w:val="16"/>
          <w:szCs w:val="16"/>
        </w:rPr>
      </w:pPr>
      <w:r>
        <w:rPr>
          <w:sz w:val="16"/>
          <w:szCs w:val="16"/>
        </w:rPr>
        <w:t>The failure of a party to take the required steps necessary to protect its own interests, cannot, standing alone, be grounds to vacate judicially authorized acts to the detriment of other innocent parties.  The law requires certain diligence of those subject to it, and this diligence cannot be lightly excused.</w:t>
      </w:r>
    </w:p>
    <w:p w:rsidR="000C7351" w:rsidRDefault="000C7351" w:rsidP="000C7351">
      <w:pPr>
        <w:ind w:left="600" w:right="600"/>
      </w:pPr>
    </w:p>
    <w:p w:rsidR="00CE668B" w:rsidRDefault="00CE668B" w:rsidP="00CE668B">
      <w:pPr>
        <w:spacing w:before="120"/>
      </w:pPr>
      <w:r>
        <w:t xml:space="preserve">We recognize that other courts have not always prohibited relief concerning a unilateral mistake by the complaining party's agent.  In </w:t>
      </w:r>
      <w:r>
        <w:rPr>
          <w:i/>
          <w:iCs/>
        </w:rPr>
        <w:t>Fernandez v. Suburban Coastal Corp.,</w:t>
      </w:r>
      <w:r>
        <w:t xml:space="preserve"> 489 So. 2d 70 (Fla. 4th DCA 1986), the Fourth District affirmed an order setting aside a clerk's sale.  As in this case, the error was made by an agent of the foreclosing mortgagee, but the error resulted in the failure of the agent to even appear for the sale. The property, which was valued at $ 54,000.00, was sold to a third party for $ 100.00.  The court held that the agent's unilateral mistake in calendaring the sale was a mistake for which the trial court had discretion to grant relief.  </w:t>
      </w:r>
      <w:r>
        <w:rPr>
          <w:i/>
          <w:iCs/>
        </w:rPr>
        <w:t>See also Van Delinder v. Albion Realty &amp; Mortgage, Inc.,</w:t>
      </w:r>
      <w:r>
        <w:t xml:space="preserve"> 287 So. 2d 352 (Fla. 3d DCA 1973) (trial court had discretion to set aside $ 50.00 sale when owner's attorney was not present at sale because of inadvertence or mistake). </w:t>
      </w:r>
    </w:p>
    <w:p w:rsidR="00CE668B" w:rsidRDefault="00CE668B" w:rsidP="00CE668B">
      <w:pPr>
        <w:spacing w:before="120"/>
      </w:pPr>
      <w:r>
        <w:t xml:space="preserve">While it is arguable that we are applying a rule of law that may be in conflict with </w:t>
      </w:r>
      <w:r>
        <w:rPr>
          <w:i/>
          <w:iCs/>
        </w:rPr>
        <w:t>Fernandez</w:t>
      </w:r>
      <w:r>
        <w:t xml:space="preserve"> and </w:t>
      </w:r>
      <w:r>
        <w:rPr>
          <w:i/>
          <w:iCs/>
        </w:rPr>
        <w:t>Van Delinder,</w:t>
      </w:r>
      <w:r>
        <w:t xml:space="preserve"> we conclude that those cases are factually distinguishable because the mortgagee never had an opportunity to bid at the sale, and because the prevailing bid was essentially nominal.  Moreover, both cases affirmed trial courts' discretionary decisions, as we do here.  Accordingly, we decline to certify any conflict with those cases. </w:t>
      </w:r>
    </w:p>
    <w:p w:rsidR="000C7351" w:rsidRDefault="00CE668B" w:rsidP="00CE668B">
      <w:pPr>
        <w:spacing w:before="120"/>
      </w:pPr>
      <w:r>
        <w:t xml:space="preserve">Affirmed. </w:t>
      </w:r>
      <w:r w:rsidR="000C7351">
        <w:t xml:space="preserve">  </w:t>
      </w:r>
    </w:p>
    <w:p w:rsidR="00CE668B" w:rsidRDefault="00CE668B" w:rsidP="00CE668B">
      <w:pPr>
        <w:spacing w:before="120"/>
        <w:sectPr w:rsidR="00CE668B" w:rsidSect="00B2077C">
          <w:headerReference w:type="default" r:id="rId19"/>
          <w:pgSz w:w="12240" w:h="15840"/>
          <w:pgMar w:top="1152" w:right="1152" w:bottom="1152" w:left="1152" w:header="720" w:footer="720" w:gutter="0"/>
          <w:cols w:space="720"/>
          <w:noEndnote/>
        </w:sectPr>
      </w:pPr>
      <w:r>
        <w:t>HALL, A.C.J., and CASE, JAMES</w:t>
      </w:r>
      <w:r w:rsidR="000C7351">
        <w:t xml:space="preserve"> R., Associate Judge, Concur. </w:t>
      </w:r>
    </w:p>
    <w:p w:rsidR="00CD06B9" w:rsidRPr="00CD3A9B" w:rsidRDefault="00CD06B9" w:rsidP="00CD06B9">
      <w:pPr>
        <w:ind w:left="1200" w:right="1200"/>
        <w:jc w:val="center"/>
        <w:rPr>
          <w:bCs/>
        </w:rPr>
      </w:pPr>
      <w:r w:rsidRPr="00CD3A9B">
        <w:rPr>
          <w:bCs/>
        </w:rPr>
        <w:lastRenderedPageBreak/>
        <w:t>BEACHCOMBER COINS, INC., PLAINTIFF-APPELLANT, v. RON BOSKETT, t/a R &amp; B COINS, DEFENDANT-RESPONDENT</w:t>
      </w:r>
    </w:p>
    <w:p w:rsidR="00CD06B9" w:rsidRPr="00CD3A9B" w:rsidRDefault="00CD06B9" w:rsidP="00CD06B9">
      <w:pPr>
        <w:rPr>
          <w:bCs/>
        </w:rPr>
      </w:pPr>
    </w:p>
    <w:p w:rsidR="00CD06B9" w:rsidRPr="00CD3A9B" w:rsidRDefault="00CD06B9" w:rsidP="00CD06B9">
      <w:pPr>
        <w:ind w:left="1200" w:right="1200"/>
        <w:jc w:val="center"/>
        <w:rPr>
          <w:bCs/>
        </w:rPr>
      </w:pPr>
      <w:r w:rsidRPr="00CD3A9B">
        <w:rPr>
          <w:bCs/>
        </w:rPr>
        <w:t>Superior Court of New Jersey, Appellate Division</w:t>
      </w:r>
    </w:p>
    <w:p w:rsidR="00CD06B9" w:rsidRPr="00CD3A9B" w:rsidRDefault="00CD06B9" w:rsidP="00CD06B9">
      <w:pPr>
        <w:rPr>
          <w:bCs/>
        </w:rPr>
      </w:pPr>
    </w:p>
    <w:p w:rsidR="00CD06B9" w:rsidRPr="00CD3A9B" w:rsidRDefault="00CD06B9" w:rsidP="00CD06B9">
      <w:pPr>
        <w:ind w:left="1200" w:right="1200"/>
        <w:jc w:val="center"/>
        <w:rPr>
          <w:bCs/>
        </w:rPr>
      </w:pPr>
      <w:r w:rsidRPr="00CD3A9B">
        <w:rPr>
          <w:bCs/>
        </w:rPr>
        <w:t xml:space="preserve">166 N.J. Super. 442; </w:t>
      </w:r>
      <w:r w:rsidRPr="00CD3A9B">
        <w:rPr>
          <w:bCs/>
          <w:color w:val="000000" w:themeColor="text1"/>
        </w:rPr>
        <w:t>400 A.2d 78</w:t>
      </w:r>
    </w:p>
    <w:p w:rsidR="00CD06B9" w:rsidRPr="00CD3A9B" w:rsidRDefault="00CD06B9" w:rsidP="00CD06B9">
      <w:pPr>
        <w:rPr>
          <w:bCs/>
        </w:rPr>
      </w:pPr>
    </w:p>
    <w:p w:rsidR="00CD06B9" w:rsidRPr="00CD3A9B" w:rsidRDefault="00CD06B9" w:rsidP="00CD06B9">
      <w:pPr>
        <w:ind w:left="1200" w:right="1200"/>
        <w:jc w:val="center"/>
        <w:rPr>
          <w:bCs/>
        </w:rPr>
      </w:pPr>
      <w:r w:rsidRPr="00CD3A9B">
        <w:rPr>
          <w:bCs/>
        </w:rPr>
        <w:t xml:space="preserve">February 13, 1979, Argued  </w:t>
      </w:r>
    </w:p>
    <w:p w:rsidR="00CD06B9" w:rsidRPr="00CD3A9B" w:rsidRDefault="00CD06B9" w:rsidP="00CD06B9">
      <w:pPr>
        <w:ind w:left="1200" w:right="1200"/>
        <w:jc w:val="center"/>
        <w:rPr>
          <w:bCs/>
        </w:rPr>
      </w:pPr>
      <w:r w:rsidRPr="00CD3A9B">
        <w:rPr>
          <w:bCs/>
        </w:rPr>
        <w:t xml:space="preserve">March 2, 1979, Decided </w:t>
      </w:r>
    </w:p>
    <w:p w:rsidR="00CD06B9" w:rsidRPr="00CD3A9B" w:rsidRDefault="00CD06B9" w:rsidP="00CD06B9">
      <w:pPr>
        <w:rPr>
          <w:bCs/>
        </w:rPr>
      </w:pPr>
    </w:p>
    <w:p w:rsidR="00CD06B9" w:rsidRPr="00CD3A9B" w:rsidRDefault="00CD06B9" w:rsidP="00CD06B9">
      <w:r w:rsidRPr="00CD3A9B">
        <w:rPr>
          <w:bCs/>
        </w:rPr>
        <w:t xml:space="preserve">PRIOR HISTORY: </w:t>
      </w:r>
      <w:r w:rsidRPr="00CD3A9B">
        <w:t xml:space="preserve"> On appeal from Atlantic County District Court, Small Claims Division.</w:t>
      </w:r>
    </w:p>
    <w:p w:rsidR="00CD06B9" w:rsidRPr="00CD3A9B" w:rsidRDefault="00CD06B9" w:rsidP="00CD06B9"/>
    <w:p w:rsidR="00CD06B9" w:rsidRPr="00CD3A9B" w:rsidRDefault="00CD06B9" w:rsidP="00CD06B9">
      <w:r w:rsidRPr="00CD3A9B">
        <w:rPr>
          <w:bCs/>
        </w:rPr>
        <w:t xml:space="preserve">JUDGES: </w:t>
      </w:r>
      <w:r w:rsidRPr="00CD3A9B">
        <w:t>Conford, Pressler and King.  The opinion of the court was delivered b</w:t>
      </w:r>
      <w:r>
        <w:t>y Conford, P.J.A.D.</w:t>
      </w:r>
    </w:p>
    <w:p w:rsidR="00CD06B9" w:rsidRDefault="00CD06B9" w:rsidP="00CD06B9">
      <w:pPr>
        <w:spacing w:before="120"/>
      </w:pPr>
      <w:r>
        <w:t xml:space="preserve">Plaintiff, a retail dealer in coins, brought an action for rescission of a purchase by it from defendant for $500 of a dime purportedly minted in 1916 at Denver. Defendant is a part-time coin dealer. Plaintiff asserts a mutual mistake of fact as to the genuineness of the coin as Denver-minted, such a coin being a rarity and therefore having a market value greatly in excess of its normal monetary worth.  Plaintiff's evidence at trial that the "D" on the coin signifying Denver mintage was counterfeited is not disputed by defendant.  Although at trial defendant disputed that the coin tendered back to him by plaintiff was the one he sold, the implicit trial finding is to the contrary, and that issue is not raised on appeal. </w:t>
      </w:r>
    </w:p>
    <w:p w:rsidR="00CD06B9" w:rsidRDefault="00CD06B9" w:rsidP="00CD06B9">
      <w:pPr>
        <w:spacing w:before="120"/>
      </w:pPr>
      <w:r>
        <w:t xml:space="preserve">The trial judge, sitting without a jury, held for defendant on the ground that the customary "coin dealing procedures" were for a dealer purchasing a coin to make his own investigation of the genuineness of the coin and to "assume the risk" of his purchase if his investigation is faulty.  The judge conceded that the evidence demonstrated satisfaction of the ordinary requisites of the rule of rescission for mutual mistake of fact that both parties act under a mistake of fact and that the fact be "central" [material] to the making of the contract.  The proofs were that the seller had himself acquired this coin and two others of minor value for a total of $450 and that his representative had told the purchaser  that he would not sell the dime for less than $500. The principal of plaintiff firm spent from 15 to 45 minutes in close examination of the coin before purchasing it. Soon thereafter he received an offer of $700 for the coin subject to certification of its genuineness by the American Numismatic Society. That organization labelled it a counterfeit, and as a result plaintiff instituted the present action. </w:t>
      </w:r>
    </w:p>
    <w:p w:rsidR="00CD06B9" w:rsidRDefault="00CD06B9" w:rsidP="00CD06B9">
      <w:pPr>
        <w:spacing w:before="120"/>
      </w:pPr>
      <w:r>
        <w:t>The evidence and trial judge's findings establish this as a classic case of rescission for mutual mistake of fact. As a general rule,</w:t>
      </w:r>
    </w:p>
    <w:p w:rsidR="00CD06B9" w:rsidRDefault="00CD06B9" w:rsidP="00CD06B9">
      <w:pPr>
        <w:ind w:left="600" w:right="600"/>
        <w:rPr>
          <w:sz w:val="16"/>
          <w:szCs w:val="16"/>
        </w:rPr>
      </w:pPr>
    </w:p>
    <w:p w:rsidR="00CD06B9" w:rsidRDefault="00CD06B9" w:rsidP="00CD06B9">
      <w:pPr>
        <w:ind w:left="600" w:right="600"/>
      </w:pPr>
      <w:r>
        <w:rPr>
          <w:sz w:val="16"/>
          <w:szCs w:val="16"/>
        </w:rPr>
        <w:t xml:space="preserve">* * *  where parties on entering into a transaction that affects their contractual relations are both under a mistake regarding a fact assumed by them as the basis on which they entered into the transaction, it is voidable by either party if enforcement of it would be materially more onerous to him than it would have been had the fact been as the parties believed it to be.  </w:t>
      </w:r>
      <w:r>
        <w:rPr>
          <w:i/>
          <w:iCs/>
          <w:sz w:val="16"/>
          <w:szCs w:val="16"/>
        </w:rPr>
        <w:t>Restatement, Contracts</w:t>
      </w:r>
      <w:r>
        <w:rPr>
          <w:sz w:val="16"/>
          <w:szCs w:val="16"/>
        </w:rPr>
        <w:t>, § 502 at 961 (1932).</w:t>
      </w:r>
    </w:p>
    <w:p w:rsidR="00CD06B9" w:rsidRDefault="00CD06B9" w:rsidP="00CD06B9">
      <w:pPr>
        <w:spacing w:before="120"/>
      </w:pPr>
      <w:r>
        <w:t xml:space="preserve">. . . It is undisputed that both parties believed that the coin was a genuine Denver-minted one. The mistake was mutual in that both parties were laboring under the same misapprehension as to this particular, essential fact. The price asked and paid was directly based on that assumption. </w:t>
      </w:r>
    </w:p>
    <w:p w:rsidR="00CD06B9" w:rsidRDefault="00CD06B9" w:rsidP="00CD06B9">
      <w:pPr>
        <w:spacing w:before="120"/>
      </w:pPr>
      <w:r>
        <w:t>Defendant's contention that plaintiff assumed the risk that the coin might be of greater or lesser value than that paid is not supported by the evidence. It is well established that a party to a contract can assume the risk of being mistaken as to the value of the thing sold. . . .</w:t>
      </w:r>
    </w:p>
    <w:p w:rsidR="00CD06B9" w:rsidRDefault="00CD06B9" w:rsidP="00CD06B9"/>
    <w:p w:rsidR="00CD06B9" w:rsidRDefault="00CD06B9" w:rsidP="00CD06B9">
      <w:r>
        <w:t xml:space="preserve">However, for the stated rule to apply, the parties must be conscious that the pertinent fact may not be true and make their agreement at the risk of that possibility. In this case both parties were certain that the coin was genuine. They so testified.  Plaintiff's principal thought so after his inspection, and defendant would not have paid nearly $450 for it otherwise.  A different case would be presented if the seller were uncertain either of the genuineness of the coin or of its value if genuine, and had accepted the expert buyer's judgment on these matters. . . . </w:t>
      </w:r>
    </w:p>
    <w:p w:rsidR="00CD06B9" w:rsidRDefault="00CD06B9" w:rsidP="00CD06B9">
      <w:pPr>
        <w:spacing w:before="120"/>
      </w:pPr>
      <w:r>
        <w:t>The foregoing conclusions make it unnecessary for us to discuss plaintiff's alternative contention that the contract was "unenforceable" because it constituted an illegal contract to purchase a counterfeit coin. We regard that position as devoid of merit.</w:t>
      </w:r>
    </w:p>
    <w:p w:rsidR="00CD06B9" w:rsidRDefault="00CD06B9" w:rsidP="00CD06B9">
      <w:pPr>
        <w:spacing w:before="120"/>
      </w:pPr>
      <w:r>
        <w:t>Reversed.</w:t>
      </w:r>
    </w:p>
    <w:p w:rsidR="00CD06B9" w:rsidRDefault="00CD06B9">
      <w:pPr>
        <w:spacing w:after="160" w:line="259" w:lineRule="auto"/>
      </w:pPr>
      <w:r>
        <w:br w:type="page"/>
      </w:r>
    </w:p>
    <w:p w:rsidR="00C079F6" w:rsidRDefault="00C079F6" w:rsidP="00C079F6">
      <w:pPr>
        <w:rPr>
          <w:rFonts w:cs="Courier"/>
        </w:rPr>
        <w:sectPr w:rsidR="00C079F6" w:rsidSect="00D008C6">
          <w:pgSz w:w="12240" w:h="15840"/>
          <w:pgMar w:top="1152" w:right="1152" w:bottom="1152" w:left="1152" w:header="720" w:footer="720" w:gutter="0"/>
          <w:cols w:space="720"/>
          <w:noEndnote/>
        </w:sectPr>
      </w:pPr>
    </w:p>
    <w:p w:rsidR="00C079F6" w:rsidRPr="009A1B54" w:rsidRDefault="00C079F6" w:rsidP="00C079F6">
      <w:pPr>
        <w:ind w:left="1200" w:right="1200"/>
        <w:jc w:val="center"/>
        <w:rPr>
          <w:bCs/>
          <w:color w:val="000000" w:themeColor="text1"/>
        </w:rPr>
      </w:pPr>
      <w:r w:rsidRPr="009A1B54">
        <w:rPr>
          <w:bCs/>
          <w:color w:val="000000" w:themeColor="text1"/>
        </w:rPr>
        <w:lastRenderedPageBreak/>
        <w:t>Mary R. Page v. Gulf Coast Motors</w:t>
      </w:r>
    </w:p>
    <w:p w:rsidR="00C079F6" w:rsidRDefault="00C079F6" w:rsidP="00C079F6">
      <w:pPr>
        <w:ind w:left="1200" w:right="1200"/>
        <w:jc w:val="center"/>
        <w:rPr>
          <w:bCs/>
          <w:color w:val="000000" w:themeColor="text1"/>
        </w:rPr>
      </w:pPr>
    </w:p>
    <w:p w:rsidR="00C079F6" w:rsidRPr="009A1B54" w:rsidRDefault="00C8101F" w:rsidP="00C079F6">
      <w:pPr>
        <w:ind w:left="1200" w:right="1200"/>
        <w:jc w:val="center"/>
        <w:rPr>
          <w:bCs/>
          <w:color w:val="000000" w:themeColor="text1"/>
        </w:rPr>
      </w:pPr>
      <w:r>
        <w:rPr>
          <w:bCs/>
          <w:color w:val="000000" w:themeColor="text1"/>
        </w:rPr>
        <w:t>Court of Civil Appeals o</w:t>
      </w:r>
      <w:r w:rsidRPr="009A1B54">
        <w:rPr>
          <w:bCs/>
          <w:color w:val="000000" w:themeColor="text1"/>
        </w:rPr>
        <w:t>f Alabama</w:t>
      </w:r>
    </w:p>
    <w:p w:rsidR="00C079F6" w:rsidRPr="009A1B54" w:rsidRDefault="00C079F6" w:rsidP="00C079F6">
      <w:pPr>
        <w:rPr>
          <w:bCs/>
          <w:color w:val="000000" w:themeColor="text1"/>
        </w:rPr>
      </w:pPr>
    </w:p>
    <w:p w:rsidR="00C079F6" w:rsidRPr="009A1B54" w:rsidRDefault="00C079F6" w:rsidP="00C079F6">
      <w:pPr>
        <w:ind w:left="1200" w:right="1200"/>
        <w:jc w:val="center"/>
        <w:rPr>
          <w:bCs/>
          <w:color w:val="000000" w:themeColor="text1"/>
        </w:rPr>
      </w:pPr>
      <w:r w:rsidRPr="009A1B54">
        <w:rPr>
          <w:bCs/>
          <w:color w:val="000000" w:themeColor="text1"/>
        </w:rPr>
        <w:t>903 So. 2d 148</w:t>
      </w:r>
    </w:p>
    <w:p w:rsidR="00C079F6" w:rsidRPr="009A1B54" w:rsidRDefault="00C079F6" w:rsidP="00C079F6">
      <w:pPr>
        <w:rPr>
          <w:bCs/>
        </w:rPr>
      </w:pPr>
    </w:p>
    <w:p w:rsidR="00C079F6" w:rsidRPr="009A1B54" w:rsidRDefault="00C079F6" w:rsidP="00C079F6">
      <w:pPr>
        <w:ind w:left="1200" w:right="1200"/>
        <w:jc w:val="center"/>
        <w:rPr>
          <w:bCs/>
        </w:rPr>
      </w:pPr>
      <w:r w:rsidRPr="009A1B54">
        <w:rPr>
          <w:bCs/>
        </w:rPr>
        <w:t xml:space="preserve">December 30, 2004, Released </w:t>
      </w:r>
    </w:p>
    <w:p w:rsidR="00C079F6" w:rsidRPr="009A1B54" w:rsidRDefault="00C079F6" w:rsidP="00C079F6">
      <w:pPr>
        <w:rPr>
          <w:bCs/>
        </w:rPr>
      </w:pPr>
    </w:p>
    <w:p w:rsidR="00C079F6" w:rsidRDefault="00C079F6" w:rsidP="00C079F6"/>
    <w:p w:rsidR="00C079F6" w:rsidRPr="009A1B54" w:rsidRDefault="00C079F6" w:rsidP="00C079F6">
      <w:r w:rsidRPr="009A1B54">
        <w:rPr>
          <w:bCs/>
        </w:rPr>
        <w:t xml:space="preserve">PRIOR HISTORY: </w:t>
      </w:r>
      <w:r>
        <w:rPr>
          <w:bCs/>
        </w:rPr>
        <w:t xml:space="preserve"> </w:t>
      </w:r>
      <w:r w:rsidRPr="009A1B54">
        <w:t>App</w:t>
      </w:r>
      <w:r w:rsidR="00C8101F">
        <w:t>eal from Baldwin Circuit Court.</w:t>
      </w:r>
    </w:p>
    <w:p w:rsidR="00C079F6" w:rsidRPr="009A1B54" w:rsidRDefault="00C079F6" w:rsidP="00C079F6"/>
    <w:p w:rsidR="00C079F6" w:rsidRPr="009A1B54" w:rsidRDefault="00C079F6" w:rsidP="00C079F6">
      <w:r w:rsidRPr="009A1B54">
        <w:rPr>
          <w:bCs/>
        </w:rPr>
        <w:t xml:space="preserve">JUDGES: </w:t>
      </w:r>
      <w:r>
        <w:rPr>
          <w:bCs/>
        </w:rPr>
        <w:t xml:space="preserve"> </w:t>
      </w:r>
      <w:r w:rsidRPr="009A1B54">
        <w:t xml:space="preserve">MURDOCK, Judge. Yates, P.J., and Crawley and Thompson, JJ., concur. Pittman, J., recuses himself.  </w:t>
      </w:r>
    </w:p>
    <w:p w:rsidR="00C079F6" w:rsidRPr="009A1B54" w:rsidRDefault="00C079F6" w:rsidP="00C079F6"/>
    <w:p w:rsidR="00C079F6" w:rsidRPr="009A1B54" w:rsidRDefault="00C079F6" w:rsidP="00C079F6">
      <w:r w:rsidRPr="009A1B54">
        <w:rPr>
          <w:bCs/>
        </w:rPr>
        <w:t xml:space="preserve">OPINION BY: </w:t>
      </w:r>
      <w:r>
        <w:rPr>
          <w:bCs/>
        </w:rPr>
        <w:t xml:space="preserve">  </w:t>
      </w:r>
      <w:r w:rsidRPr="009A1B54">
        <w:t>MURDOCK, Judge.</w:t>
      </w:r>
    </w:p>
    <w:p w:rsidR="00C079F6" w:rsidRDefault="00C079F6" w:rsidP="00C079F6">
      <w:pPr>
        <w:spacing w:before="120"/>
      </w:pPr>
      <w:r w:rsidRPr="009A1B54">
        <w:t xml:space="preserve">Gulf Coast Motors sued Glenn A. Page, Jr. ("Glenn"), and his wife, Mary R. Page ("Mary"), to recover money lent at </w:t>
      </w:r>
      <w:r>
        <w:t xml:space="preserve">various times to Glenn. Mary asserted the affirmative defenses of the lack of consideration and the Statute of Frauds. </w:t>
      </w:r>
    </w:p>
    <w:p w:rsidR="00C079F6" w:rsidRDefault="00C079F6" w:rsidP="00C079F6">
      <w:pPr>
        <w:spacing w:before="120"/>
      </w:pPr>
      <w:r>
        <w:t>On August 29, 2003, the case was tried by the court without a jury. The trial court heard testimony from Mary, Glenn, and representatives of Gulf Coast Motors. After the trial, the parties submitted briefs on the application of the Statute of Frauds as to the claims asserted against Mary. On November 7, 2003, the trial court entered a judgment in the amount of $23,020 in favor of Gulf Coast Motors and against both Glenn and Mary. On December 8, 2003, Mary filed a motion to alter, amend, or vacate the judgment based on the Statute of Frauds. That motion was denied on December 9, 2003. On January 20, 2004, Mary filed a notice of appeal to this court. Glenn did not appeal.</w:t>
      </w:r>
    </w:p>
    <w:p w:rsidR="00C8101F" w:rsidRDefault="00C079F6" w:rsidP="00C8101F">
      <w:pPr>
        <w:spacing w:before="120"/>
        <w:rPr>
          <w:sz w:val="16"/>
          <w:szCs w:val="16"/>
          <w:vertAlign w:val="superscript"/>
        </w:rPr>
      </w:pPr>
      <w:r>
        <w:t xml:space="preserve">Glenn had a long-term friendship with Jerry Sellers, one of the owners of Gulf Coast Motors. In or around 1993, Glenn began borrowing money from Gulf Coast Motors on a recurring basis. The parties agree that Glenn borrowed money from Gulf Coast Motors and that he "had a gambling problem," but there is no evidence as to what Glenn used the loan proceeds for. </w:t>
      </w:r>
      <w:r>
        <w:rPr>
          <w:sz w:val="16"/>
          <w:szCs w:val="16"/>
          <w:vertAlign w:val="superscript"/>
        </w:rPr>
        <w:t>1</w:t>
      </w:r>
    </w:p>
    <w:p w:rsidR="00C079F6" w:rsidRDefault="00C079F6" w:rsidP="00C079F6">
      <w:pPr>
        <w:ind w:left="600"/>
        <w:rPr>
          <w:sz w:val="16"/>
          <w:szCs w:val="16"/>
        </w:rPr>
      </w:pPr>
      <w:r>
        <w:rPr>
          <w:sz w:val="16"/>
          <w:szCs w:val="16"/>
          <w:vertAlign w:val="superscript"/>
        </w:rPr>
        <w:t>1</w:t>
      </w:r>
      <w:r>
        <w:t xml:space="preserve"> </w:t>
      </w:r>
      <w:r>
        <w:rPr>
          <w:sz w:val="16"/>
          <w:szCs w:val="16"/>
        </w:rPr>
        <w:t>When the loans were being made, Glenn was not working and had no assets in his own name. Mary has significant assets in her own name.</w:t>
      </w:r>
    </w:p>
    <w:p w:rsidR="00C079F6" w:rsidRDefault="00C079F6" w:rsidP="00C079F6">
      <w:pPr>
        <w:spacing w:before="120"/>
      </w:pPr>
      <w:r>
        <w:t>The loan process was informal. Gulf Coast Motors set up a one-page ledger to record Glenn's loans. The ledger sheet showed the debits and credits, and it contained the following statement at the bottom, signed by Glenn: "I agree to pay Jerry Sellers as above with waiver of all exemptions." Mary did not sign the ledger sheet, and her name does not appear thereon.</w:t>
      </w:r>
    </w:p>
    <w:p w:rsidR="00C079F6" w:rsidRDefault="00C079F6" w:rsidP="00C079F6">
      <w:pPr>
        <w:spacing w:before="120"/>
      </w:pPr>
      <w:r>
        <w:t>At various times between October 2000 and October 2002, Glenn borrowed money from Gulf Coast Motors. According to Gulf Coast Motors's bookkeeper, Glenn "would come in and borrow money from [Gulf Coast Motors] and set up a payment plan, get cash, then sometimes he'd come in and he would want [Sellers] to cash a check for him and, hold the check." At various times, Glenn made payments, typically in amounts of $300 or $600, to apply toward the balance of his account. The parties do not dispute that Glenn was indebted to Gulf Coast Motors.</w:t>
      </w:r>
    </w:p>
    <w:p w:rsidR="00C079F6" w:rsidRDefault="00C079F6" w:rsidP="00C079F6">
      <w:pPr>
        <w:spacing w:before="120"/>
      </w:pPr>
      <w:r>
        <w:t>Sellers testified that he became concerned about Glenn's debt in 2002 and that he asked Mary to guaranty Glenn's debt. According to Sellers, Mary agreed to make</w:t>
      </w:r>
      <w:r>
        <w:rPr>
          <w:b/>
          <w:bCs/>
        </w:rPr>
        <w:t xml:space="preserve"> </w:t>
      </w:r>
      <w:r>
        <w:t>sure that Gulf Coast Motors was paid if they would "work with us." Sellers testified as follows:</w:t>
      </w:r>
    </w:p>
    <w:p w:rsidR="00C079F6" w:rsidRDefault="00C079F6" w:rsidP="00C079F6"/>
    <w:p w:rsidR="00C079F6" w:rsidRDefault="00C079F6" w:rsidP="00C079F6">
      <w:pPr>
        <w:ind w:left="600" w:right="600"/>
        <w:rPr>
          <w:sz w:val="16"/>
          <w:szCs w:val="16"/>
        </w:rPr>
      </w:pPr>
      <w:r>
        <w:rPr>
          <w:sz w:val="16"/>
          <w:szCs w:val="16"/>
        </w:rPr>
        <w:t xml:space="preserve">"I called [Mary] on the telephone. Mary, Glenn is up here wanting me to cash another check and, you know, he's got a big bill already run up here and he tells me when y'all harvest your timber ... you're going to pay off all this account. </w:t>
      </w:r>
    </w:p>
    <w:p w:rsidR="00C079F6" w:rsidRDefault="00C079F6" w:rsidP="00C079F6">
      <w:pPr>
        <w:spacing w:before="120"/>
        <w:ind w:left="600" w:right="600"/>
      </w:pPr>
      <w:r>
        <w:rPr>
          <w:sz w:val="16"/>
          <w:szCs w:val="16"/>
        </w:rPr>
        <w:t>"And, ah, [Mary] said, well, I'm gonna pay it. I promise you that we'll pay this off. Just work with us until we can sell our timber. I promise you won't lose a dime. You'll be paid just as soon as we get the money."</w:t>
      </w:r>
    </w:p>
    <w:p w:rsidR="00C079F6" w:rsidRDefault="00C079F6" w:rsidP="00C079F6">
      <w:pPr>
        <w:spacing w:before="120"/>
      </w:pPr>
      <w:r>
        <w:t>Sellers testified that he modified Glenn's payment terms and made additional advances based on Mary's assurances that she would make payment. Sellers testified:</w:t>
      </w:r>
    </w:p>
    <w:p w:rsidR="00C079F6" w:rsidRDefault="00C079F6" w:rsidP="00C079F6"/>
    <w:p w:rsidR="00C079F6" w:rsidRDefault="00C079F6" w:rsidP="00C079F6">
      <w:pPr>
        <w:ind w:left="600" w:right="600"/>
        <w:rPr>
          <w:sz w:val="16"/>
          <w:szCs w:val="16"/>
        </w:rPr>
      </w:pPr>
      <w:r>
        <w:rPr>
          <w:sz w:val="16"/>
          <w:szCs w:val="16"/>
        </w:rPr>
        <w:t>"She said, Well, if you will redo those just put them in a payment where we can pay five of six hundred dollars a month we'll do that until we sell our timber. And based on her promise that she would make sure it was paid, I did that for her because Glenn does not have anything in his name. . . .</w:t>
      </w:r>
    </w:p>
    <w:p w:rsidR="00C079F6" w:rsidRDefault="00C079F6" w:rsidP="00C079F6">
      <w:pPr>
        <w:spacing w:before="120"/>
        <w:ind w:left="600" w:right="600"/>
      </w:pPr>
      <w:r>
        <w:rPr>
          <w:sz w:val="16"/>
          <w:szCs w:val="16"/>
        </w:rPr>
        <w:t xml:space="preserve">"And the only assurance I could go forward on was Miss Mary. And she promised me faithfully that I would be paid in full everything was owed and all she wanted me to do was work with them until they could sell their timber." </w:t>
      </w:r>
    </w:p>
    <w:p w:rsidR="00C079F6" w:rsidRDefault="00C079F6" w:rsidP="00C079F6">
      <w:pPr>
        <w:spacing w:before="120"/>
      </w:pPr>
      <w:r>
        <w:t>Mary denied that she had promised to pay any of Glenn's debt, and she denied that Sellers had asked her to pay Glenn's debt. Mary testified that she never received any money from Sellers or Gulf Coast Motors, and she denied that she had received any economic benefit from moneys lent by Gulf Coast Motors to Glenn. She testified that, if she had been asked, she would have advised Sellers not to lend money to Glenn.</w:t>
      </w:r>
    </w:p>
    <w:p w:rsidR="00C079F6" w:rsidRDefault="00C079F6" w:rsidP="00C079F6">
      <w:pPr>
        <w:spacing w:before="120"/>
      </w:pPr>
      <w:r>
        <w:lastRenderedPageBreak/>
        <w:t xml:space="preserve">Because the trial court heard evidence, the trial court's findings of fact are given a presumption of correctness, and we will not reverse the trial court's judgment based on those findings of fact "unless it is clearly erroneous, without supporting evidence, manifestly unjust, or against the great weight of the evidence." </w:t>
      </w:r>
      <w:r>
        <w:rPr>
          <w:i/>
          <w:iCs/>
        </w:rPr>
        <w:t>Odom v. Hull</w:t>
      </w:r>
      <w:r>
        <w:t xml:space="preserve">, 658 So. 2d 442, 444 (Ala. 1995). Where, however, the issue is the application of law to the facts, the presumption of correctness has no application and our review is de novo. </w:t>
      </w:r>
      <w:r w:rsidR="00C8101F">
        <w:t xml:space="preserve"> </w:t>
      </w:r>
      <w:r>
        <w:t>Our disposition of this case turns on the proper application of the Statute of Frauds. Specifically, § 8-9-2, Ala. Code 1975, provides, in pertinent part:</w:t>
      </w:r>
    </w:p>
    <w:p w:rsidR="00C079F6" w:rsidRDefault="00C079F6" w:rsidP="00C079F6"/>
    <w:p w:rsidR="00C079F6" w:rsidRDefault="00C079F6" w:rsidP="00C079F6">
      <w:pPr>
        <w:ind w:left="600" w:right="600"/>
        <w:rPr>
          <w:sz w:val="16"/>
          <w:szCs w:val="16"/>
        </w:rPr>
      </w:pPr>
      <w:r>
        <w:rPr>
          <w:sz w:val="16"/>
          <w:szCs w:val="16"/>
        </w:rPr>
        <w:t>"In the following cases, every agreement is void unless such agreement or some note or memorandum thereof expressing the consideration is in writing and subscribed by the party to be charged therewith or some other person by him thereunto lawfully authorized in writing:</w:t>
      </w:r>
    </w:p>
    <w:p w:rsidR="00C079F6" w:rsidRDefault="00C079F6" w:rsidP="00C079F6">
      <w:pPr>
        <w:spacing w:before="120"/>
        <w:ind w:left="1200" w:right="1200"/>
        <w:rPr>
          <w:sz w:val="16"/>
          <w:szCs w:val="16"/>
        </w:rPr>
      </w:pPr>
      <w:r>
        <w:rPr>
          <w:sz w:val="16"/>
          <w:szCs w:val="16"/>
        </w:rPr>
        <w:t>"(3) Every special promise to answer for the debt, default or miscarriage of another;</w:t>
      </w:r>
    </w:p>
    <w:p w:rsidR="00C079F6" w:rsidRDefault="00C079F6" w:rsidP="00C079F6">
      <w:pPr>
        <w:spacing w:before="120"/>
        <w:ind w:left="1200" w:right="1200"/>
        <w:rPr>
          <w:sz w:val="16"/>
          <w:szCs w:val="16"/>
        </w:rPr>
      </w:pPr>
      <w:r>
        <w:rPr>
          <w:sz w:val="16"/>
          <w:szCs w:val="16"/>
        </w:rPr>
        <w:t>"(7) Every agreement or commitment to lend money, delay or forebear repayment thereof or to modify the provisions of such an agreement or commitment except for consumer loans with a principal amount financed less than $25,000."</w:t>
      </w:r>
    </w:p>
    <w:p w:rsidR="00C8101F" w:rsidRDefault="00C8101F" w:rsidP="00C079F6">
      <w:pPr>
        <w:spacing w:before="120"/>
        <w:rPr>
          <w:sz w:val="16"/>
          <w:szCs w:val="16"/>
        </w:rPr>
      </w:pPr>
    </w:p>
    <w:p w:rsidR="00C079F6" w:rsidRDefault="00C079F6" w:rsidP="00C079F6">
      <w:pPr>
        <w:spacing w:before="120"/>
      </w:pPr>
      <w:r>
        <w:t xml:space="preserve">A promise to pay the debt of another is barred by the Statute of Frauds unless it is in writing. It is not disputed that Mary did not sign a note, guaranty, or any other writing promising to pay any part of Glenn's debts. Therefore, if the purported agreement to pay Glenn's debt is within the Statute of Frauds, Mary is not liable even if the trial court found Sellers's testimony to be credible. Mary's alleged oral promises are not enforceable under the Statute of Frauds. </w:t>
      </w:r>
    </w:p>
    <w:p w:rsidR="00C079F6" w:rsidRDefault="00C079F6" w:rsidP="00C079F6">
      <w:pPr>
        <w:spacing w:before="120"/>
      </w:pPr>
      <w:r>
        <w:t>Gulf Coast Motors makes three arguments in this appeal. First, it argues that Mary's obligations were original promises to pay, rather than guaranty or collateral agreements, and thus were not within the Statute of Frauds. The Alabama Supreme Court has defined "original" and "collateral" agreements as follows:</w:t>
      </w:r>
    </w:p>
    <w:p w:rsidR="00C079F6" w:rsidRDefault="00C079F6" w:rsidP="00C079F6"/>
    <w:p w:rsidR="00C079F6" w:rsidRDefault="00C079F6" w:rsidP="00C079F6">
      <w:pPr>
        <w:ind w:left="600" w:right="600"/>
      </w:pPr>
      <w:r>
        <w:rPr>
          <w:sz w:val="16"/>
          <w:szCs w:val="16"/>
        </w:rPr>
        <w:t xml:space="preserve">"'Collateral' agreements are those in which the object of the promise is to become the guarantor of another's debt; these are within the statute and must be in writing to be enforceable. 'Original' agreements are those in which the </w:t>
      </w:r>
      <w:r>
        <w:rPr>
          <w:i/>
          <w:iCs/>
          <w:sz w:val="16"/>
          <w:szCs w:val="16"/>
        </w:rPr>
        <w:t>effect</w:t>
      </w:r>
      <w:r>
        <w:rPr>
          <w:sz w:val="16"/>
          <w:szCs w:val="16"/>
        </w:rPr>
        <w:t xml:space="preserve"> of the promise is to pay the debt of another, but the </w:t>
      </w:r>
      <w:r>
        <w:rPr>
          <w:i/>
          <w:iCs/>
          <w:sz w:val="16"/>
          <w:szCs w:val="16"/>
        </w:rPr>
        <w:t>object</w:t>
      </w:r>
      <w:r>
        <w:rPr>
          <w:sz w:val="16"/>
          <w:szCs w:val="16"/>
        </w:rPr>
        <w:t xml:space="preserve"> of the promise is to promote some purpose of the promisor."</w:t>
      </w:r>
    </w:p>
    <w:p w:rsidR="00C079F6" w:rsidRDefault="00C079F6" w:rsidP="00C079F6"/>
    <w:p w:rsidR="00C079F6" w:rsidRDefault="00C079F6" w:rsidP="00C079F6">
      <w:r>
        <w:rPr>
          <w:i/>
          <w:iCs/>
        </w:rPr>
        <w:t>Fendley v. Dozier Hardware Co.</w:t>
      </w:r>
      <w:r>
        <w:t>, 449 So. 2d 1236, 1238 (Ala. 1984).</w:t>
      </w:r>
    </w:p>
    <w:p w:rsidR="00C079F6" w:rsidRDefault="00C079F6" w:rsidP="00C079F6">
      <w:pPr>
        <w:spacing w:before="120"/>
      </w:pPr>
      <w:r>
        <w:t>In this case, Mary's alleged agreement was to guaranty payment of Glenn's debt.</w:t>
      </w:r>
      <w:r>
        <w:rPr>
          <w:sz w:val="16"/>
          <w:szCs w:val="16"/>
          <w:vertAlign w:val="superscript"/>
        </w:rPr>
        <w:t>3</w:t>
      </w:r>
      <w:r>
        <w:t xml:space="preserve"> Much of the credit had already been extended to Glenn when Mary allegedly made her oral promises to guaranty payment. Moreover, there is no suggestion in the record as to any economic purpose that Mary would advance by repayment of Glenn's debt, and there is no evidence indicating that Mary received any economic benefit from the loans to Glenn. </w:t>
      </w:r>
      <w:r w:rsidR="00C8101F">
        <w:t xml:space="preserve"> </w:t>
      </w:r>
      <w:r>
        <w:t>We conclude that the issue presented involves an alleged guaranty, or "collateral," agreement, not an "original" agreement.</w:t>
      </w:r>
    </w:p>
    <w:p w:rsidR="00C079F6" w:rsidRDefault="00C079F6" w:rsidP="00C079F6"/>
    <w:p w:rsidR="00C079F6" w:rsidRDefault="00C079F6" w:rsidP="00C079F6">
      <w:pPr>
        <w:ind w:left="600"/>
        <w:rPr>
          <w:sz w:val="16"/>
          <w:szCs w:val="16"/>
        </w:rPr>
      </w:pPr>
      <w:r>
        <w:rPr>
          <w:sz w:val="16"/>
          <w:szCs w:val="16"/>
          <w:vertAlign w:val="superscript"/>
        </w:rPr>
        <w:t>3</w:t>
      </w:r>
      <w:r>
        <w:t xml:space="preserve">  </w:t>
      </w:r>
      <w:r>
        <w:rPr>
          <w:sz w:val="16"/>
          <w:szCs w:val="16"/>
        </w:rPr>
        <w:t xml:space="preserve">Sellers testified that he "refinanced [Glenn] per [Mary's] request and put all the old other checks in with the other account and redid it at $600 a month." </w:t>
      </w:r>
    </w:p>
    <w:p w:rsidR="00C079F6" w:rsidRDefault="00C079F6" w:rsidP="00C079F6">
      <w:pPr>
        <w:spacing w:before="120"/>
      </w:pPr>
      <w:r>
        <w:t xml:space="preserve">Second, Gulf Coast Motors argues that Ala. Code 1975, § 8-9-2(7), exempts from its application agreements or commitments to lend money in cases of "consumer loans with a principal amount financed less than $25,000." § 8-9-2(7). This argument fails because § 8-9-2(7) applies to "commitments to </w:t>
      </w:r>
      <w:r>
        <w:rPr>
          <w:i/>
          <w:iCs/>
        </w:rPr>
        <w:t>lend</w:t>
      </w:r>
      <w:r>
        <w:t xml:space="preserve"> money, not to repay money that has been borrowed." </w:t>
      </w:r>
      <w:r>
        <w:rPr>
          <w:i/>
          <w:iCs/>
        </w:rPr>
        <w:t>Carter v. Holland</w:t>
      </w:r>
      <w:r>
        <w:t xml:space="preserve">, 825 So. 2d 832, 836 (Ala. Civ. App. 2001). </w:t>
      </w:r>
      <w:r w:rsidR="00C8101F">
        <w:t xml:space="preserve"> </w:t>
      </w:r>
      <w:r>
        <w:t xml:space="preserve">Mary's purported guaranty is not an agreement to lend money, and it is therefore not governed by § 8-9-2(7). </w:t>
      </w:r>
      <w:r w:rsidR="00C8101F">
        <w:t xml:space="preserve"> </w:t>
      </w:r>
      <w:r>
        <w:t xml:space="preserve">Moreover, a transaction is covered by the Statute of Frauds if it comes within </w:t>
      </w:r>
      <w:r>
        <w:rPr>
          <w:i/>
          <w:iCs/>
        </w:rPr>
        <w:t>any</w:t>
      </w:r>
      <w:r>
        <w:t xml:space="preserve"> of the subsections of § 8-9-2. </w:t>
      </w:r>
      <w:r w:rsidR="00C8101F">
        <w:t xml:space="preserve"> </w:t>
      </w:r>
      <w:r>
        <w:t>Because Mary's purported guaranty was covered by § 8-9-2(3), it is irrelevant that it is excluded from the scope of another subsection of the statute.</w:t>
      </w:r>
    </w:p>
    <w:p w:rsidR="00C079F6" w:rsidRDefault="00C079F6" w:rsidP="00C079F6">
      <w:pPr>
        <w:spacing w:before="120"/>
      </w:pPr>
      <w:r>
        <w:t>Third, Gulf Coast Motors argues</w:t>
      </w:r>
      <w:r w:rsidR="00C8101F">
        <w:t xml:space="preserve"> </w:t>
      </w:r>
      <w:r>
        <w:t xml:space="preserve">that Mary committed fraud in the procurement of the loans and that the Statute of Frauds therefore does not bar recovery. This argument is without merit because the Alabama Supreme Court recently held that  "an oral promise that is void by operation of the Statute of Frauds will not support an action against the promisor for promissory fraud." </w:t>
      </w:r>
      <w:r>
        <w:rPr>
          <w:i/>
          <w:iCs/>
        </w:rPr>
        <w:t>Bruce v. Cole,</w:t>
      </w:r>
      <w:r>
        <w:t xml:space="preserve"> 854 So. 2d 47, 58 (Ala. 2003). To allow a promissory-fraud claim in such circumstances would cause the Statute of Frauds to become meaningless. Therefore, under </w:t>
      </w:r>
      <w:r>
        <w:rPr>
          <w:i/>
          <w:iCs/>
        </w:rPr>
        <w:t>Bruce</w:t>
      </w:r>
      <w:r>
        <w:t>, the promissory-fraud claim is barred because the underlying promise is barred by the Statute of Frauds.</w:t>
      </w:r>
    </w:p>
    <w:p w:rsidR="00C079F6" w:rsidRDefault="00C079F6" w:rsidP="00C079F6">
      <w:pPr>
        <w:spacing w:before="120"/>
      </w:pPr>
      <w:r>
        <w:t>Based on the foregoing, we conclude that Mary's alleged promises to guaranty or repay Glenn's debts were within the Statute of Frauds and, therefore, were not enforceable. Therefore, we reverse the trial court's judgment, and we remand the cause for the trial court to enter a judgment in Mary's favor on all claims.</w:t>
      </w:r>
    </w:p>
    <w:p w:rsidR="00C8101F" w:rsidRDefault="00C8101F" w:rsidP="00C079F6">
      <w:pPr>
        <w:spacing w:before="120"/>
      </w:pPr>
    </w:p>
    <w:p w:rsidR="00C079F6" w:rsidRDefault="00C079F6" w:rsidP="00C079F6">
      <w:pPr>
        <w:spacing w:before="120"/>
      </w:pPr>
      <w:r>
        <w:t>REVERSED AND REMANDED.</w:t>
      </w:r>
    </w:p>
    <w:p w:rsidR="00837995" w:rsidRDefault="00C079F6" w:rsidP="00C8101F">
      <w:pPr>
        <w:spacing w:before="120"/>
        <w:rPr>
          <w:bCs/>
        </w:rPr>
      </w:pPr>
      <w:r>
        <w:t>Yates, P.J., and Crawley and Thompson, JJ., concur.</w:t>
      </w:r>
      <w:r w:rsidR="00C8101F">
        <w:t xml:space="preserve">  </w:t>
      </w:r>
      <w:r>
        <w:t>Pittman, J., recuses himself.</w:t>
      </w:r>
      <w:r w:rsidR="00837995">
        <w:rPr>
          <w:bCs/>
        </w:rPr>
        <w:br w:type="page"/>
      </w:r>
    </w:p>
    <w:p w:rsidR="00032A5B" w:rsidRPr="00DA25EC" w:rsidRDefault="00032A5B" w:rsidP="00032A5B">
      <w:pPr>
        <w:ind w:left="1200" w:right="1200"/>
        <w:jc w:val="center"/>
        <w:rPr>
          <w:bCs/>
        </w:rPr>
      </w:pPr>
      <w:r w:rsidRPr="00DA25EC">
        <w:rPr>
          <w:bCs/>
        </w:rPr>
        <w:lastRenderedPageBreak/>
        <w:t>KENNETH SUTTON et al., Plaintiffs and Appellants, v. DONALD WARNER et al., Defendants and Appellants.</w:t>
      </w:r>
    </w:p>
    <w:p w:rsidR="00032A5B" w:rsidRPr="00DA25EC" w:rsidRDefault="00032A5B" w:rsidP="00032A5B">
      <w:pPr>
        <w:rPr>
          <w:bCs/>
        </w:rPr>
      </w:pPr>
    </w:p>
    <w:p w:rsidR="00032A5B" w:rsidRPr="00DA25EC" w:rsidRDefault="00032A5B" w:rsidP="00032A5B">
      <w:pPr>
        <w:ind w:left="1200" w:right="1200"/>
        <w:jc w:val="center"/>
        <w:rPr>
          <w:bCs/>
        </w:rPr>
      </w:pPr>
      <w:r>
        <w:rPr>
          <w:bCs/>
        </w:rPr>
        <w:t>Court of Appeal o</w:t>
      </w:r>
      <w:r w:rsidRPr="00DA25EC">
        <w:rPr>
          <w:bCs/>
        </w:rPr>
        <w:t xml:space="preserve">f </w:t>
      </w:r>
      <w:smartTag w:uri="urn:schemas-microsoft-com:office:smarttags" w:element="place">
        <w:smartTag w:uri="urn:schemas-microsoft-com:office:smarttags" w:element="State">
          <w:r w:rsidRPr="00DA25EC">
            <w:rPr>
              <w:bCs/>
            </w:rPr>
            <w:t>California</w:t>
          </w:r>
        </w:smartTag>
      </w:smartTag>
      <w:r w:rsidRPr="00DA25EC">
        <w:rPr>
          <w:bCs/>
        </w:rPr>
        <w:t>, First Appellate District</w:t>
      </w:r>
    </w:p>
    <w:p w:rsidR="00032A5B" w:rsidRPr="00DA25EC" w:rsidRDefault="00032A5B" w:rsidP="00032A5B">
      <w:pPr>
        <w:rPr>
          <w:bCs/>
        </w:rPr>
      </w:pPr>
    </w:p>
    <w:p w:rsidR="00032A5B" w:rsidRDefault="00032A5B" w:rsidP="00032A5B">
      <w:pPr>
        <w:ind w:left="1200" w:right="1200"/>
        <w:jc w:val="center"/>
        <w:rPr>
          <w:bCs/>
        </w:rPr>
      </w:pPr>
      <w:r w:rsidRPr="00DA25EC">
        <w:rPr>
          <w:bCs/>
        </w:rPr>
        <w:t xml:space="preserve">12 </w:t>
      </w:r>
      <w:smartTag w:uri="urn:schemas-microsoft-com:office:smarttags" w:element="place">
        <w:smartTag w:uri="urn:schemas-microsoft-com:office:smarttags" w:element="State">
          <w:r w:rsidRPr="00DA25EC">
            <w:rPr>
              <w:bCs/>
            </w:rPr>
            <w:t>Cal.</w:t>
          </w:r>
        </w:smartTag>
      </w:smartTag>
      <w:r w:rsidRPr="00DA25EC">
        <w:rPr>
          <w:bCs/>
        </w:rPr>
        <w:t xml:space="preserve"> App. 4th 415</w:t>
      </w:r>
    </w:p>
    <w:p w:rsidR="00032A5B" w:rsidRPr="00DA25EC" w:rsidRDefault="00032A5B" w:rsidP="00032A5B">
      <w:pPr>
        <w:ind w:left="1200" w:right="1200"/>
        <w:jc w:val="center"/>
        <w:rPr>
          <w:bCs/>
        </w:rPr>
      </w:pPr>
    </w:p>
    <w:p w:rsidR="00032A5B" w:rsidRPr="00DA25EC" w:rsidRDefault="00032A5B" w:rsidP="00032A5B">
      <w:pPr>
        <w:ind w:left="1200" w:right="1200"/>
        <w:jc w:val="center"/>
        <w:rPr>
          <w:bCs/>
        </w:rPr>
      </w:pPr>
      <w:smartTag w:uri="urn:schemas-microsoft-com:office:smarttags" w:element="date">
        <w:smartTagPr>
          <w:attr w:name="Year" w:val="1993"/>
          <w:attr w:name="Day" w:val="12"/>
          <w:attr w:name="Month" w:val="1"/>
          <w:attr w:name="ls" w:val="trans"/>
        </w:smartTagPr>
        <w:r w:rsidRPr="00DA25EC">
          <w:rPr>
            <w:bCs/>
          </w:rPr>
          <w:t>January 12, 1993</w:t>
        </w:r>
      </w:smartTag>
      <w:r w:rsidRPr="00DA25EC">
        <w:rPr>
          <w:bCs/>
        </w:rPr>
        <w:t xml:space="preserve">, Decided </w:t>
      </w:r>
    </w:p>
    <w:p w:rsidR="00032A5B" w:rsidRPr="00DA25EC" w:rsidRDefault="00032A5B" w:rsidP="00032A5B">
      <w:pPr>
        <w:rPr>
          <w:bCs/>
        </w:rPr>
      </w:pPr>
    </w:p>
    <w:p w:rsidR="00032A5B" w:rsidRPr="00DA25EC" w:rsidRDefault="00032A5B" w:rsidP="00032A5B">
      <w:r w:rsidRPr="00DA25EC">
        <w:rPr>
          <w:bCs/>
        </w:rPr>
        <w:t xml:space="preserve">JUDGES: </w:t>
      </w:r>
      <w:r>
        <w:rPr>
          <w:bCs/>
        </w:rPr>
        <w:t xml:space="preserve">  </w:t>
      </w:r>
      <w:r w:rsidRPr="00DA25EC">
        <w:t xml:space="preserve">Opinion by Kline, P. J., with Benson and Phelan, JJ., concurring.  </w:t>
      </w:r>
    </w:p>
    <w:p w:rsidR="00032A5B" w:rsidRDefault="00032A5B" w:rsidP="00032A5B"/>
    <w:p w:rsidR="00032A5B" w:rsidRDefault="00032A5B" w:rsidP="00032A5B">
      <w:pPr>
        <w:spacing w:before="120"/>
      </w:pPr>
      <w:r>
        <w:rPr>
          <w:i/>
          <w:iCs/>
        </w:rPr>
        <w:t>INTRODUCTION</w:t>
      </w:r>
      <w:r>
        <w:t xml:space="preserve"> </w:t>
      </w:r>
    </w:p>
    <w:p w:rsidR="00032A5B" w:rsidRDefault="00032A5B" w:rsidP="00032A5B">
      <w:pPr>
        <w:spacing w:before="120"/>
      </w:pPr>
      <w:r>
        <w:t>Arlene and Donald Warner appeal from a judgment granting specific performance of an oral agreement to purchase real property in favor of respondents Gloria and Kenneth Sutton.  The Warners contend on appeal that substantial evidence does not support the judgment and that numerous errors of law compel reversal.</w:t>
      </w:r>
    </w:p>
    <w:p w:rsidR="00032A5B" w:rsidRDefault="00032A5B" w:rsidP="00032A5B">
      <w:pPr>
        <w:spacing w:before="120"/>
      </w:pPr>
      <w:r>
        <w:t>We affirm.</w:t>
      </w:r>
    </w:p>
    <w:p w:rsidR="00032A5B" w:rsidRDefault="00032A5B" w:rsidP="00032A5B"/>
    <w:p w:rsidR="00032A5B" w:rsidRPr="00DA25EC" w:rsidRDefault="00032A5B" w:rsidP="00032A5B">
      <w:r w:rsidRPr="00DA25EC">
        <w:rPr>
          <w:bCs/>
          <w:i/>
          <w:iCs/>
        </w:rPr>
        <w:t>STATEMENT OF FACTS</w:t>
      </w:r>
    </w:p>
    <w:p w:rsidR="00032A5B" w:rsidRDefault="00032A5B" w:rsidP="00032A5B">
      <w:pPr>
        <w:spacing w:before="120"/>
      </w:pPr>
      <w:r>
        <w:t xml:space="preserve">In 1983, Arlene Warner inherited a one-third interest in a home at </w:t>
      </w:r>
      <w:smartTag w:uri="urn:schemas-microsoft-com:office:smarttags" w:element="Street">
        <w:smartTag w:uri="urn:schemas-microsoft-com:office:smarttags" w:element="address">
          <w:r>
            <w:t>101 Molimo Street</w:t>
          </w:r>
        </w:smartTag>
      </w:smartTag>
      <w:r>
        <w:t xml:space="preserve"> in </w:t>
      </w:r>
      <w:smartTag w:uri="urn:schemas-microsoft-com:office:smarttags" w:element="place">
        <w:smartTag w:uri="urn:schemas-microsoft-com:office:smarttags" w:element="City">
          <w:r>
            <w:t>San Francisco</w:t>
          </w:r>
        </w:smartTag>
      </w:smartTag>
      <w:r>
        <w:t xml:space="preserve">.  She and her husband, Donald Warner, desired to retain the property.  In order to obtain full title, the Warners bought out the other heirs, which required them to obtain a loan for $170,000.  The </w:t>
      </w:r>
      <w:smartTag w:uri="urn:schemas-microsoft-com:office:smarttags" w:element="Street">
        <w:smartTag w:uri="urn:schemas-microsoft-com:office:smarttags" w:element="address">
          <w:r>
            <w:t>Molimo Street</w:t>
          </w:r>
        </w:smartTag>
      </w:smartTag>
      <w:r>
        <w:t xml:space="preserve"> property, having a value of approximately $185,000, could not support a loan in that amount by itself.  They could not afford the payments on that mortgage and therefore sought assistance from others.</w:t>
      </w:r>
    </w:p>
    <w:p w:rsidR="00032A5B" w:rsidRDefault="00032A5B" w:rsidP="00032A5B">
      <w:pPr>
        <w:spacing w:before="120"/>
      </w:pPr>
      <w:r>
        <w:t xml:space="preserve">Donald Warner and Kenneth Sutton were friends.  Warner suggested to Sutton in October of 1983 that the Suttons rent the </w:t>
      </w:r>
      <w:smartTag w:uri="urn:schemas-microsoft-com:office:smarttags" w:element="Street">
        <w:smartTag w:uri="urn:schemas-microsoft-com:office:smarttags" w:element="address">
          <w:r>
            <w:t>Molimo Street</w:t>
          </w:r>
        </w:smartTag>
      </w:smartTag>
      <w:r>
        <w:t xml:space="preserve"> property.  The Suttons became tenants and made all rent payments in cash. </w:t>
      </w:r>
    </w:p>
    <w:p w:rsidR="00032A5B" w:rsidRDefault="00032A5B" w:rsidP="00032A5B">
      <w:pPr>
        <w:spacing w:before="120"/>
      </w:pPr>
      <w:r>
        <w:t xml:space="preserve">In January 1984, Donald Warner proposed that the Suttons purchase the residence so that the estate could be settled.  His proposal included a $15,000 down payment towards the purchase price of $185,000.  According to the Suttons, they were to have five years to purchase the home.  In addition, under the terms of this agreement, the Suttons were required to make all mortgage payments and real estate tax payments.  In sum, the Warners were not to have to make any payments on the </w:t>
      </w:r>
      <w:smartTag w:uri="urn:schemas-microsoft-com:office:smarttags" w:element="Street">
        <w:smartTag w:uri="urn:schemas-microsoft-com:office:smarttags" w:element="address">
          <w:r>
            <w:t>Molimo Street</w:t>
          </w:r>
        </w:smartTag>
      </w:smartTag>
      <w:r>
        <w:t xml:space="preserve"> property. </w:t>
      </w:r>
    </w:p>
    <w:p w:rsidR="00032A5B" w:rsidRDefault="00032A5B" w:rsidP="00032A5B">
      <w:pPr>
        <w:spacing w:before="120"/>
      </w:pPr>
      <w:r>
        <w:t>John Murphy, a long-time acquaintance of Kenneth Sutton and Donald Warner, testified that he overheard discussions between the two which supported Sutton's version of the contract.</w:t>
      </w:r>
    </w:p>
    <w:p w:rsidR="00032A5B" w:rsidRDefault="00032A5B" w:rsidP="00032A5B">
      <w:pPr>
        <w:spacing w:before="120"/>
      </w:pPr>
      <w:r>
        <w:t xml:space="preserve">Donald Warner confirmed that, but for the sale of the </w:t>
      </w:r>
      <w:smartTag w:uri="urn:schemas-microsoft-com:office:smarttags" w:element="Street">
        <w:smartTag w:uri="urn:schemas-microsoft-com:office:smarttags" w:element="address">
          <w:r>
            <w:t>Molimo Street</w:t>
          </w:r>
        </w:smartTag>
      </w:smartTag>
      <w:r>
        <w:t xml:space="preserve"> property to the Suttons, he and his wife would not have acquired the  remaining interests in that property.  He admitted receipt of the $15,000, but testified that the Suttons had only six months in which to exercise their option, or they would lose their interest in the property.  . . . The court found the Warners' version of the contract neither credible nor reasonable. </w:t>
      </w:r>
    </w:p>
    <w:p w:rsidR="00032A5B" w:rsidRDefault="00032A5B" w:rsidP="00032A5B">
      <w:pPr>
        <w:spacing w:before="120"/>
      </w:pPr>
      <w:r>
        <w:t xml:space="preserve">Kenneth Sutton testified that he and his wife had made a number of improvements to the property in reliance upon the oral purchase agreement. Sutton also testified that he was concerned about proof of payment of the down payment.  He requested a receipt for the $15,000 so he would have proof of payment should the Warners die.  Sutton testified that Warner gave him a previously prepared one-page memorandum, exhibit 2, dated </w:t>
      </w:r>
      <w:smartTag w:uri="urn:schemas-microsoft-com:office:smarttags" w:element="date">
        <w:smartTagPr>
          <w:attr w:name="ls" w:val="trans"/>
          <w:attr w:name="Month" w:val="4"/>
          <w:attr w:name="Day" w:val="4"/>
          <w:attr w:name="Year" w:val="1984"/>
        </w:smartTagPr>
        <w:r>
          <w:t>April 4, 1984</w:t>
        </w:r>
      </w:smartTag>
      <w:r>
        <w:t>.  This document acknowledged the receipt of the $15,000, identified the pro</w:t>
      </w:r>
      <w:r w:rsidRPr="00DA25EC">
        <w:t xml:space="preserve">perty, and evidenced the obligation of the Warners to sell the property to the Suttons. The document provided: </w:t>
      </w:r>
    </w:p>
    <w:p w:rsidR="00032A5B" w:rsidRDefault="00032A5B" w:rsidP="00032A5B">
      <w:pPr>
        <w:spacing w:before="120"/>
        <w:ind w:left="720"/>
      </w:pPr>
      <w:r w:rsidRPr="00DA25EC">
        <w:t xml:space="preserve">"Received from Kenneth Sutton the amount of $15,000 toward the purchase of 101 Molimo, </w:t>
      </w:r>
      <w:smartTag w:uri="urn:schemas-microsoft-com:office:smarttags" w:element="place">
        <w:smartTag w:uri="urn:schemas-microsoft-com:office:smarttags" w:element="City">
          <w:r w:rsidRPr="00DA25EC">
            <w:t>San Francisco</w:t>
          </w:r>
        </w:smartTag>
      </w:smartTag>
      <w:r w:rsidRPr="00DA25EC">
        <w:t>.  In any event where me, Donald L Warner and my wife, Arlene M Warner die, Ken Sutton is to have first option of buying 101 Molimo at th</w:t>
      </w:r>
      <w:r>
        <w:t>e price of $185,000 minus the $</w:t>
      </w:r>
      <w:r w:rsidRPr="00DA25EC">
        <w:t>15,000 already received[,] leaving a $170,000.00 Balance.  If Mr. Sutton cannot buy the house at 101 Molimo he is to paid [</w:t>
      </w:r>
      <w:r w:rsidRPr="00DA25EC">
        <w:rPr>
          <w:i/>
          <w:iCs/>
        </w:rPr>
        <w:t>sic</w:t>
      </w:r>
      <w:r w:rsidRPr="00DA25EC">
        <w:t>] $15,000 out of our estate and said property to be sold.  Mr. Sutton has 6 months to buy and must pay rent to meet agreement at $1000.00 per month.  [P] S/ Donald L Warner and Arlene M Warner."</w:t>
      </w:r>
    </w:p>
    <w:p w:rsidR="00032A5B" w:rsidRDefault="00032A5B" w:rsidP="00032A5B">
      <w:pPr>
        <w:spacing w:before="120"/>
      </w:pPr>
      <w:r>
        <w:t xml:space="preserve">The Suttons maintained that this document was not the contract and that they intended to have a formal contract prepared. </w:t>
      </w:r>
    </w:p>
    <w:p w:rsidR="00032A5B" w:rsidRDefault="00032A5B" w:rsidP="00032A5B">
      <w:pPr>
        <w:spacing w:before="120"/>
      </w:pPr>
      <w:r>
        <w:t xml:space="preserve">Shortly after execution of the receipt, the Warners began the process to obtain the $170,000 loan.  The loan transaction closed in late summer or fall of 1984.  Up to that time, the Suttons had paid $1,000 per month in rent. Upon consummation of the financing, they began paying an increased amount.  The Suttons contended that they paid the sum of $1,881 per </w:t>
      </w:r>
      <w:r>
        <w:lastRenderedPageBreak/>
        <w:t xml:space="preserve">month in cash commencing in September 1984.  This was equal to the full amount of the new loan's monthly mortgage payment. The Suttons continued to pay the full amount of the mortgage payment each and every month in cash until 1987, when they began using checks to be able to evidence their ability to pay to a potential lender.  </w:t>
      </w:r>
    </w:p>
    <w:p w:rsidR="00032A5B" w:rsidRDefault="00032A5B" w:rsidP="00032A5B">
      <w:pPr>
        <w:spacing w:before="120"/>
      </w:pPr>
      <w:r>
        <w:t xml:space="preserve">Kenneth Sutton produced evidence of cash deposits to the Warners' checking account in exactly that amount.  In September of 1986, the mortgage amount was fixed at $1,544.  Although there were numerous checks after that date for the sum of $1,500, Warner confirmed that he received $44 in cash on multiple occasions from the Suttons in addition to the monthly rent check for $1,500. </w:t>
      </w:r>
    </w:p>
    <w:p w:rsidR="00032A5B" w:rsidRDefault="00032A5B" w:rsidP="00032A5B">
      <w:pPr>
        <w:spacing w:before="120"/>
      </w:pPr>
      <w:r>
        <w:t>Sutton testified that in late 1986, he, his wife, and Warner explored creative financing for the house. . . .</w:t>
      </w:r>
    </w:p>
    <w:p w:rsidR="00032A5B" w:rsidRDefault="00032A5B" w:rsidP="00032A5B">
      <w:pPr>
        <w:spacing w:before="120"/>
      </w:pPr>
      <w:r>
        <w:t xml:space="preserve">Thereafter, in January 1987, a meeting occurred at the </w:t>
      </w:r>
      <w:smartTag w:uri="urn:schemas-microsoft-com:office:smarttags" w:element="Street">
        <w:smartTag w:uri="urn:schemas-microsoft-com:office:smarttags" w:element="address">
          <w:r>
            <w:t>Molimo Street</w:t>
          </w:r>
        </w:smartTag>
      </w:smartTag>
      <w:r>
        <w:t xml:space="preserve"> property with the Suttons, the Warners, and Attorney Garrett Checcini representing the Suttons.  According to Checcini, the purpose of the meeting was to formalize the arrangement between the parties.  Checcini testified that he was willing to cosign a loan to enable the Suttons to obtain financing. Kenneth Sutton summarized the terms of the agreement, to the effect that the original purchase price was $185,000, that a down payment of $15,000 had been made, along with additional paydowns on the principal balance.  No objection to these facts was voiced by either Donald or Arlene Warner.  Checcini testified that no agreement was consummated at that meeting because Donald Warner consumed a six-pack of beer during the forty-five-minute meeting and became inebriated. </w:t>
      </w:r>
    </w:p>
    <w:p w:rsidR="00032A5B" w:rsidRDefault="00032A5B" w:rsidP="00032A5B">
      <w:pPr>
        <w:spacing w:before="120"/>
      </w:pPr>
      <w:r>
        <w:t xml:space="preserve">During this period, the Suttons continued to pay rent in the amount of the mortgage payments.  Meanwhile, the value of the property rose to somewhere between $250,000 and $320,000. . . . </w:t>
      </w:r>
    </w:p>
    <w:p w:rsidR="00032A5B" w:rsidRDefault="00032A5B" w:rsidP="00032A5B">
      <w:pPr>
        <w:spacing w:before="120"/>
      </w:pPr>
      <w:r>
        <w:t xml:space="preserve">In July 1988, the Warners offered to sell the property to the Suttons for $250,000, which they contended was less than its fair market value.  The Suttons did not dispute the value of the property.  A letter from Warners' counsel at this time also advised the Suttons that in the event they did not exercise the option to purchase the property for that sum, their rent would be increased. </w:t>
      </w:r>
    </w:p>
    <w:p w:rsidR="00032A5B" w:rsidRDefault="00032A5B" w:rsidP="00032A5B">
      <w:pPr>
        <w:spacing w:before="120"/>
      </w:pPr>
      <w:r>
        <w:t xml:space="preserve">Upon the Suttons' receipt of the letter from the Warners' attorney, this litigation ensued. </w:t>
      </w:r>
    </w:p>
    <w:p w:rsidR="00032A5B" w:rsidRDefault="00032A5B" w:rsidP="00032A5B">
      <w:pPr>
        <w:spacing w:before="120"/>
      </w:pPr>
    </w:p>
    <w:p w:rsidR="00032A5B" w:rsidRDefault="00032A5B" w:rsidP="00032A5B">
      <w:pPr>
        <w:spacing w:before="120"/>
      </w:pPr>
      <w:smartTag w:uri="urn:schemas-microsoft-com:office:smarttags" w:element="place">
        <w:r>
          <w:t>I.</w:t>
        </w:r>
      </w:smartTag>
      <w:r>
        <w:t xml:space="preserve"> </w:t>
      </w:r>
      <w:r>
        <w:rPr>
          <w:i/>
          <w:iCs/>
        </w:rPr>
        <w:t>SUBSTANTIAL EVIDENCE SUPPORTS ORAL AGREEMENT</w:t>
      </w:r>
      <w:r>
        <w:t xml:space="preserve"> </w:t>
      </w:r>
    </w:p>
    <w:p w:rsidR="00032A5B" w:rsidRDefault="00032A5B" w:rsidP="00032A5B"/>
    <w:p w:rsidR="00032A5B" w:rsidRDefault="00032A5B" w:rsidP="00032A5B">
      <w:r>
        <w:t>[omitted]</w:t>
      </w:r>
    </w:p>
    <w:p w:rsidR="00032A5B" w:rsidRDefault="00032A5B" w:rsidP="00032A5B"/>
    <w:p w:rsidR="00032A5B" w:rsidRDefault="00032A5B" w:rsidP="00032A5B">
      <w:pPr>
        <w:spacing w:before="120"/>
      </w:pPr>
      <w:r>
        <w:t xml:space="preserve">II. </w:t>
      </w:r>
      <w:r>
        <w:rPr>
          <w:i/>
          <w:iCs/>
        </w:rPr>
        <w:t>STATUTE OF FRAUDS</w:t>
      </w:r>
      <w:r>
        <w:t xml:space="preserve"> </w:t>
      </w:r>
    </w:p>
    <w:p w:rsidR="00032A5B" w:rsidRDefault="00032A5B" w:rsidP="00032A5B">
      <w:pPr>
        <w:spacing w:before="120"/>
      </w:pPr>
      <w:r>
        <w:t xml:space="preserve">The Warners contend that the statute of frauds prevents enforcement of the agreement and that there is no substantial evidence of part performance by the Suttons or of equitable estoppel sufficient to take the agreement outside the operation of the statute.  The record supports the trial court's determination that part performance by the Suttons sufficed to remove the bar of the statute. </w:t>
      </w:r>
    </w:p>
    <w:p w:rsidR="00032A5B" w:rsidRDefault="00032A5B" w:rsidP="00032A5B">
      <w:pPr>
        <w:spacing w:before="120"/>
      </w:pPr>
      <w:r>
        <w:t xml:space="preserve">The doctrine of part performance by the purchaser is a well- recognized exception to the statute of frauds as applied to contracts for the sale or lease of real property. Payment of the purchase price alone, without the buyer obtaining possession or making substantial improvements to the property, is not sufficient part performance to preclude application of the statute of frauds. The part performance by the buyer must clearly relate to, and must be pursuant to, the terms of the oral agreement. . . .  Two distinct elements underlie application of the part performance exception: "first, the extent to which the evidentiary function of the statutory formalities [of the statute of frauds] is fulfilled by the conduct of the parties; second, the reliance of the promisee, providing a compelling substantive basis for relief in addition to the expectations created by the promise." (Rest.2d, Contracts, § 129, com. b., p. 322.) </w:t>
      </w:r>
    </w:p>
    <w:p w:rsidR="00032A5B" w:rsidRDefault="00032A5B" w:rsidP="00032A5B">
      <w:pPr>
        <w:spacing w:before="120"/>
      </w:pPr>
      <w:r>
        <w:t>The Warners contend that the Suttons could not demonstrate adequate part performance, as they never entered possession pursuant to the oral agreement.  Rather, they originally took possession as tenants and continued in possession after the making of the oral agreement. . . .  Possession must be . . . actual, visible, notorious and exclusive, so that it manifests clearly that the buyer is claiming and asserting a distinctive ownership of the property inconsistent with the right of possession or  ownership in any other person.</w:t>
      </w:r>
      <w:r>
        <w:rPr>
          <w:b/>
          <w:bCs/>
        </w:rPr>
        <w:t xml:space="preserve"> </w:t>
      </w:r>
      <w:r>
        <w:t xml:space="preserve"> At the same time, as the trial court recognized, continued possession, under the circumstances presented, did not preclude part performance. To apply a transfer of possession requirement to preclude former tenants from ever establishing an oral contract to purchase would be unjust under the circumstances of this case. . . . </w:t>
      </w:r>
    </w:p>
    <w:p w:rsidR="00032A5B" w:rsidRDefault="00032A5B" w:rsidP="00032A5B">
      <w:pPr>
        <w:spacing w:before="120"/>
      </w:pPr>
      <w:r>
        <w:t xml:space="preserve">After entering the oral agreement, the Suttons made a $15,000 down payment and increased their monthly payments to  the Warners from the original $1,000 per month rental payment to payments in the precise amount of the variable mortgage payments due under the $170,000 loan.  They reimbursed the Warners for property taxes in the sum of $800 every six </w:t>
      </w:r>
      <w:r>
        <w:lastRenderedPageBreak/>
        <w:t xml:space="preserve">months.  Although it was disputed whether the dollar value of improvements made by the Suttons in reliance upon the oral agreement constituted "substantial" improvements, it is undisputed that many of the improvements—such as painting the interior of the house and the installation of a toilet and entry lamp—were done by the Suttons' own labor.  The trial court found that these actions were unequivocally related to the purchase agreement. We cannot gainsay this determination.  Furthermore, the Warners did not dispute the </w:t>
      </w:r>
      <w:r>
        <w:rPr>
          <w:i/>
          <w:iCs/>
        </w:rPr>
        <w:t>existence</w:t>
      </w:r>
      <w:r>
        <w:t xml:space="preserve"> of an oral lease-option agreement.  Rather, the dispute centered upon when the option would expire.  The actions taken by the Suttons in reliance upon the oral agreement, when considered together with the Warners' admission that there was an oral agreement of some duration, satisfy both elements of the part performance doctrine—evidence of the existence of the oral contract on the terms found by the court and reliance by the Suttons upon that contract warranting specific performance relief. </w:t>
      </w:r>
    </w:p>
    <w:p w:rsidR="00032A5B" w:rsidRDefault="00032A5B" w:rsidP="00032A5B"/>
    <w:p w:rsidR="00032A5B" w:rsidRDefault="00032A5B" w:rsidP="00032A5B">
      <w:pPr>
        <w:spacing w:before="120"/>
      </w:pPr>
      <w:r>
        <w:t xml:space="preserve">DISPOSITION </w:t>
      </w:r>
    </w:p>
    <w:p w:rsidR="00032A5B" w:rsidRDefault="00032A5B" w:rsidP="00032A5B">
      <w:pPr>
        <w:spacing w:before="120"/>
      </w:pPr>
      <w:r>
        <w:t xml:space="preserve">The judgment is affirmed. </w:t>
      </w:r>
    </w:p>
    <w:p w:rsidR="00032A5B" w:rsidRDefault="00032A5B" w:rsidP="00032A5B">
      <w:pPr>
        <w:spacing w:before="120"/>
        <w:sectPr w:rsidR="00032A5B" w:rsidSect="00A81F86">
          <w:headerReference w:type="even" r:id="rId20"/>
          <w:footerReference w:type="even" r:id="rId21"/>
          <w:footerReference w:type="default" r:id="rId22"/>
          <w:footerReference w:type="first" r:id="rId23"/>
          <w:pgSz w:w="12240" w:h="15840"/>
          <w:pgMar w:top="1152" w:right="1152" w:bottom="1152" w:left="1152" w:header="720" w:footer="720" w:gutter="0"/>
          <w:cols w:space="720"/>
          <w:noEndnote/>
          <w:titlePg/>
          <w:docGrid w:linePitch="272"/>
        </w:sectPr>
      </w:pPr>
      <w:r>
        <w:t>Benson, J., and Phelan, J., concurred</w:t>
      </w:r>
    </w:p>
    <w:p w:rsidR="00032A5B" w:rsidRPr="00410425" w:rsidRDefault="00032A5B" w:rsidP="00032A5B">
      <w:pPr>
        <w:ind w:left="154" w:right="154"/>
        <w:jc w:val="center"/>
      </w:pPr>
      <w:r w:rsidRPr="00410425">
        <w:lastRenderedPageBreak/>
        <w:t xml:space="preserve">JOSEPH B. </w:t>
      </w:r>
      <w:r w:rsidRPr="00410425">
        <w:rPr>
          <w:rStyle w:val="hit"/>
        </w:rPr>
        <w:t>DOHERTY,</w:t>
      </w:r>
      <w:r w:rsidRPr="00410425">
        <w:t xml:space="preserve"> SR., Plaintiff, Appellee, v. </w:t>
      </w:r>
      <w:bookmarkStart w:id="21" w:name="HIT_2"/>
      <w:bookmarkStart w:id="22" w:name="ORIGHIT_2"/>
      <w:bookmarkEnd w:id="21"/>
      <w:bookmarkEnd w:id="22"/>
      <w:r w:rsidRPr="00410425">
        <w:rPr>
          <w:rStyle w:val="hit"/>
        </w:rPr>
        <w:t>DOHERTY INSURANCE</w:t>
      </w:r>
      <w:r w:rsidRPr="00410425">
        <w:t xml:space="preserve"> AGENCY, INC., Defendant, Appellant</w:t>
      </w:r>
    </w:p>
    <w:p w:rsidR="00032A5B" w:rsidRPr="00410425" w:rsidRDefault="00032A5B" w:rsidP="00032A5B">
      <w:pPr>
        <w:ind w:left="154" w:right="154"/>
        <w:jc w:val="center"/>
      </w:pPr>
      <w:r w:rsidRPr="00410425">
        <w:br/>
      </w:r>
      <w:smartTag w:uri="urn:schemas-microsoft-com:office:smarttags" w:element="place">
        <w:smartTag w:uri="urn:schemas-microsoft-com:office:smarttags" w:element="country-region">
          <w:r w:rsidRPr="00410425">
            <w:t>United States</w:t>
          </w:r>
        </w:smartTag>
      </w:smartTag>
      <w:r w:rsidRPr="00410425">
        <w:t xml:space="preserve"> Court </w:t>
      </w:r>
      <w:r>
        <w:t>o</w:t>
      </w:r>
      <w:r w:rsidRPr="00410425">
        <w:t xml:space="preserve">f Appeals </w:t>
      </w:r>
      <w:r>
        <w:t>f</w:t>
      </w:r>
      <w:r w:rsidRPr="00410425">
        <w:t xml:space="preserve">or </w:t>
      </w:r>
      <w:r>
        <w:t>t</w:t>
      </w:r>
      <w:r w:rsidRPr="00410425">
        <w:t>he First Circuit</w:t>
      </w:r>
    </w:p>
    <w:p w:rsidR="00032A5B" w:rsidRPr="00410425" w:rsidRDefault="00032A5B" w:rsidP="00032A5B">
      <w:pPr>
        <w:ind w:left="154" w:right="154"/>
        <w:jc w:val="center"/>
      </w:pPr>
      <w:r w:rsidRPr="00410425">
        <w:br/>
        <w:t>878 F.2d 546</w:t>
      </w:r>
    </w:p>
    <w:p w:rsidR="00032A5B" w:rsidRPr="00410425" w:rsidRDefault="00032A5B" w:rsidP="00032A5B">
      <w:pPr>
        <w:ind w:left="154" w:right="154"/>
        <w:jc w:val="center"/>
      </w:pPr>
      <w:r w:rsidRPr="00410425">
        <w:br/>
      </w:r>
      <w:smartTag w:uri="urn:schemas-microsoft-com:office:smarttags" w:element="date">
        <w:smartTagPr>
          <w:attr w:name="Month" w:val="6"/>
          <w:attr w:name="Day" w:val="23"/>
          <w:attr w:name="Year" w:val="1989"/>
        </w:smartTagPr>
        <w:r w:rsidRPr="00410425">
          <w:t>June 23, 1989</w:t>
        </w:r>
      </w:smartTag>
      <w:r w:rsidRPr="00410425">
        <w:t xml:space="preserve"> </w:t>
      </w:r>
    </w:p>
    <w:p w:rsidR="00032A5B" w:rsidRPr="00410425" w:rsidRDefault="00032A5B" w:rsidP="00024AE9">
      <w:pPr>
        <w:ind w:left="154" w:right="154"/>
      </w:pPr>
      <w:r w:rsidRPr="00410425">
        <w:br/>
      </w:r>
      <w:r w:rsidRPr="00410425">
        <w:rPr>
          <w:rStyle w:val="verdana"/>
          <w:bCs/>
        </w:rPr>
        <w:t>JUDGES</w:t>
      </w:r>
      <w:r w:rsidRPr="00410425">
        <w:rPr>
          <w:rStyle w:val="verdana"/>
          <w:b/>
          <w:bCs/>
        </w:rPr>
        <w:t>:</w:t>
      </w:r>
      <w:r w:rsidRPr="00410425">
        <w:rPr>
          <w:rStyle w:val="verdana"/>
        </w:rPr>
        <w:t xml:space="preserve"> Campbell, Chief Judge, Bownes and Breyer, Circuit Judges. </w:t>
      </w:r>
      <w:r w:rsidRPr="00410425">
        <w:br/>
      </w:r>
      <w:r w:rsidRPr="00410425">
        <w:br/>
      </w:r>
      <w:r w:rsidRPr="00410425">
        <w:rPr>
          <w:rStyle w:val="verdana"/>
          <w:bCs/>
        </w:rPr>
        <w:t>OPINION BY:</w:t>
      </w:r>
      <w:r w:rsidRPr="00410425">
        <w:t xml:space="preserve"> Chief Judge Campbell</w:t>
      </w:r>
    </w:p>
    <w:p w:rsidR="00032A5B" w:rsidRPr="00410425" w:rsidRDefault="00032A5B" w:rsidP="00032A5B">
      <w:pPr>
        <w:pStyle w:val="loose"/>
        <w:ind w:left="154" w:right="154"/>
        <w:rPr>
          <w:sz w:val="20"/>
          <w:szCs w:val="20"/>
        </w:rPr>
      </w:pPr>
      <w:r w:rsidRPr="00410425">
        <w:rPr>
          <w:sz w:val="20"/>
          <w:szCs w:val="20"/>
        </w:rPr>
        <w:t>A district court jury found for plaintiff Joseph Doherty on his contract claim for monthly retirement payments against defendant</w:t>
      </w:r>
      <w:r w:rsidRPr="006E30DE">
        <w:rPr>
          <w:sz w:val="20"/>
          <w:szCs w:val="20"/>
        </w:rPr>
        <w:t xml:space="preserve"> </w:t>
      </w:r>
      <w:bookmarkStart w:id="23" w:name="HIT_4"/>
      <w:bookmarkStart w:id="24" w:name="ORIGHIT_4"/>
      <w:bookmarkEnd w:id="23"/>
      <w:bookmarkEnd w:id="24"/>
      <w:r w:rsidRPr="006E30DE">
        <w:rPr>
          <w:rStyle w:val="hit"/>
          <w:sz w:val="20"/>
          <w:szCs w:val="20"/>
        </w:rPr>
        <w:t>Doherty Insurance</w:t>
      </w:r>
      <w:r w:rsidRPr="006E30DE">
        <w:rPr>
          <w:sz w:val="20"/>
          <w:szCs w:val="20"/>
        </w:rPr>
        <w:t xml:space="preserve"> </w:t>
      </w:r>
      <w:r w:rsidRPr="00410425">
        <w:rPr>
          <w:sz w:val="20"/>
          <w:szCs w:val="20"/>
        </w:rPr>
        <w:t xml:space="preserve">Agency ("Insurance"). The latter now contends that the district court erred in denying its motions for a directed verdict, judgment notwithstanding the verdict and a new trial; that Doherty's claim was barred by the statute of frauds; and that the district court abused its discretion by commenting to the jury about the evidence. Finding no merit to these contentions, we affirm. </w:t>
      </w:r>
    </w:p>
    <w:p w:rsidR="00032A5B" w:rsidRPr="00410425" w:rsidRDefault="00032A5B" w:rsidP="00032A5B">
      <w:pPr>
        <w:ind w:left="154" w:right="154"/>
      </w:pPr>
      <w:r w:rsidRPr="00410425">
        <w:rPr>
          <w:rStyle w:val="bold"/>
        </w:rPr>
        <w:t xml:space="preserve">I. </w:t>
      </w:r>
      <w:r>
        <w:rPr>
          <w:rStyle w:val="bold"/>
        </w:rPr>
        <w:t xml:space="preserve">    </w:t>
      </w:r>
      <w:r w:rsidRPr="00410425">
        <w:t xml:space="preserve">In 1978, Joseph Doherty retired from his family business at the age of 68, after 32 years of service. On a monthly basis thereafter, Insurance provided Doherty with retirement benefits in a stipulated amount. In 1982, however, family relations fractured, and a newly elected board of directors voted to terminate Doherty's retirement payments. Soon after the checks ceased to arrive, Doherty brought this diversity action in the United States District Court for the District of Massachusetts, alleging breach of Insurance's oral promise to pay retirement benefits for Doherty's remaining life. The parties agreed that </w:t>
      </w:r>
      <w:smartTag w:uri="urn:schemas-microsoft-com:office:smarttags" w:element="place">
        <w:smartTag w:uri="urn:schemas-microsoft-com:office:smarttags" w:element="State">
          <w:r w:rsidRPr="00410425">
            <w:t>Massachusetts</w:t>
          </w:r>
        </w:smartTag>
      </w:smartTag>
      <w:r w:rsidRPr="00410425">
        <w:t xml:space="preserve"> law applied. . . .</w:t>
      </w:r>
    </w:p>
    <w:p w:rsidR="00032A5B" w:rsidRDefault="00032A5B" w:rsidP="00032A5B">
      <w:pPr>
        <w:ind w:left="154" w:right="154"/>
        <w:rPr>
          <w:rStyle w:val="bold"/>
        </w:rPr>
      </w:pPr>
    </w:p>
    <w:p w:rsidR="00032A5B" w:rsidRPr="00410425" w:rsidRDefault="00032A5B" w:rsidP="00032A5B">
      <w:pPr>
        <w:ind w:left="154" w:right="154"/>
      </w:pPr>
      <w:r w:rsidRPr="00410425">
        <w:rPr>
          <w:rStyle w:val="bold"/>
        </w:rPr>
        <w:t xml:space="preserve">II. </w:t>
      </w:r>
      <w:r>
        <w:rPr>
          <w:rStyle w:val="bold"/>
        </w:rPr>
        <w:t xml:space="preserve">   </w:t>
      </w:r>
      <w:r w:rsidRPr="00410425">
        <w:t xml:space="preserve">Joseph Doherty is one of five Doherty children: four sons — John, Bill, Joe (the plaintiff), and Jim —and a daughter, Margaret. </w:t>
      </w:r>
      <w:r>
        <w:t xml:space="preserve"> </w:t>
      </w:r>
      <w:r w:rsidRPr="00410425">
        <w:t xml:space="preserve">In the mid-1930s, the second son, Bill, founded a small insurance and real estate agency in </w:t>
      </w:r>
      <w:smartTag w:uri="urn:schemas-microsoft-com:office:smarttags" w:element="place">
        <w:smartTag w:uri="urn:schemas-microsoft-com:office:smarttags" w:element="City">
          <w:r w:rsidRPr="00410425">
            <w:t>Andover</w:t>
          </w:r>
        </w:smartTag>
        <w:r w:rsidRPr="00410425">
          <w:t xml:space="preserve">, </w:t>
        </w:r>
        <w:smartTag w:uri="urn:schemas-microsoft-com:office:smarttags" w:element="State">
          <w:r w:rsidRPr="00410425">
            <w:t>Massachusetts</w:t>
          </w:r>
        </w:smartTag>
      </w:smartTag>
      <w:r w:rsidRPr="00410425">
        <w:t xml:space="preserve">. In 1937, Jim joined the business. In 1946, the two brothers formed an unincorporated partnership. </w:t>
      </w:r>
      <w:r>
        <w:t xml:space="preserve"> </w:t>
      </w:r>
      <w:r w:rsidRPr="00410425">
        <w:t xml:space="preserve">Most of the company's business was insurance sales, but the brothers occasionally would also sell real estate. </w:t>
      </w:r>
      <w:r>
        <w:t xml:space="preserve"> </w:t>
      </w:r>
      <w:r w:rsidRPr="00410425">
        <w:t xml:space="preserve">In 1955, Bill discovered that he was seriously, perhaps terminally, ill. </w:t>
      </w:r>
      <w:r>
        <w:t xml:space="preserve"> </w:t>
      </w:r>
      <w:r w:rsidRPr="00410425">
        <w:t xml:space="preserve">Concerned that Jim would be left to run the family business alone, Bill and Jim sought the help of other family members. </w:t>
      </w:r>
      <w:r>
        <w:t xml:space="preserve"> </w:t>
      </w:r>
      <w:r w:rsidRPr="00410425">
        <w:t xml:space="preserve">They first asked John, who refused to join the business. </w:t>
      </w:r>
      <w:r>
        <w:t xml:space="preserve"> </w:t>
      </w:r>
      <w:r w:rsidRPr="00410425">
        <w:t xml:space="preserve">They then turned to Joe. </w:t>
      </w:r>
    </w:p>
    <w:p w:rsidR="00032A5B" w:rsidRPr="00410425" w:rsidRDefault="00032A5B" w:rsidP="00032A5B">
      <w:pPr>
        <w:pStyle w:val="loose"/>
        <w:ind w:left="154" w:right="154"/>
        <w:rPr>
          <w:sz w:val="20"/>
          <w:szCs w:val="20"/>
        </w:rPr>
      </w:pPr>
      <w:r w:rsidRPr="00410425">
        <w:rPr>
          <w:sz w:val="20"/>
          <w:szCs w:val="20"/>
        </w:rPr>
        <w:t xml:space="preserve">In 1955, Joe Doherty was 45 years old. He had earned a Bachelor's degree from </w:t>
      </w:r>
      <w:smartTag w:uri="urn:schemas-microsoft-com:office:smarttags" w:element="PlaceName">
        <w:r w:rsidRPr="00410425">
          <w:rPr>
            <w:sz w:val="20"/>
            <w:szCs w:val="20"/>
          </w:rPr>
          <w:t>Boston</w:t>
        </w:r>
      </w:smartTag>
      <w:r w:rsidRPr="00410425">
        <w:rPr>
          <w:sz w:val="20"/>
          <w:szCs w:val="20"/>
        </w:rPr>
        <w:t xml:space="preserve"> </w:t>
      </w:r>
      <w:smartTag w:uri="urn:schemas-microsoft-com:office:smarttags" w:element="PlaceType">
        <w:r w:rsidRPr="00410425">
          <w:rPr>
            <w:sz w:val="20"/>
            <w:szCs w:val="20"/>
          </w:rPr>
          <w:t>College</w:t>
        </w:r>
      </w:smartTag>
      <w:r w:rsidRPr="00410425">
        <w:rPr>
          <w:sz w:val="20"/>
          <w:szCs w:val="20"/>
        </w:rPr>
        <w:t xml:space="preserve">, and later a Master's degree in Education from </w:t>
      </w:r>
      <w:smartTag w:uri="urn:schemas-microsoft-com:office:smarttags" w:element="place">
        <w:smartTag w:uri="urn:schemas-microsoft-com:office:smarttags" w:element="PlaceName">
          <w:r w:rsidRPr="00410425">
            <w:rPr>
              <w:sz w:val="20"/>
              <w:szCs w:val="20"/>
            </w:rPr>
            <w:t>Harvard</w:t>
          </w:r>
        </w:smartTag>
        <w:r w:rsidRPr="00410425">
          <w:rPr>
            <w:sz w:val="20"/>
            <w:szCs w:val="20"/>
          </w:rPr>
          <w:t xml:space="preserve"> </w:t>
        </w:r>
        <w:smartTag w:uri="urn:schemas-microsoft-com:office:smarttags" w:element="PlaceType">
          <w:r w:rsidRPr="00410425">
            <w:rPr>
              <w:sz w:val="20"/>
              <w:szCs w:val="20"/>
            </w:rPr>
            <w:t>University</w:t>
          </w:r>
        </w:smartTag>
      </w:smartTag>
      <w:r w:rsidRPr="00410425">
        <w:rPr>
          <w:sz w:val="20"/>
          <w:szCs w:val="20"/>
        </w:rPr>
        <w:t xml:space="preserve">. In 1951, he and his family moved to </w:t>
      </w:r>
      <w:smartTag w:uri="urn:schemas-microsoft-com:office:smarttags" w:element="place">
        <w:smartTag w:uri="urn:schemas-microsoft-com:office:smarttags" w:element="City">
          <w:r w:rsidRPr="00410425">
            <w:rPr>
              <w:sz w:val="20"/>
              <w:szCs w:val="20"/>
            </w:rPr>
            <w:t>Easthampton</w:t>
          </w:r>
        </w:smartTag>
        <w:r w:rsidRPr="00410425">
          <w:rPr>
            <w:sz w:val="20"/>
            <w:szCs w:val="20"/>
          </w:rPr>
          <w:t xml:space="preserve">, </w:t>
        </w:r>
        <w:smartTag w:uri="urn:schemas-microsoft-com:office:smarttags" w:element="State">
          <w:r w:rsidRPr="00410425">
            <w:rPr>
              <w:sz w:val="20"/>
              <w:szCs w:val="20"/>
            </w:rPr>
            <w:t>Connecticut</w:t>
          </w:r>
        </w:smartTag>
      </w:smartTag>
      <w:r w:rsidRPr="00410425">
        <w:rPr>
          <w:sz w:val="20"/>
          <w:szCs w:val="20"/>
        </w:rPr>
        <w:t xml:space="preserve">, where he served as the superintendent of schools. By 1955, Joe had built up 18 years of equity in school retirement plans. </w:t>
      </w:r>
    </w:p>
    <w:p w:rsidR="00032A5B" w:rsidRPr="00410425" w:rsidRDefault="00032A5B" w:rsidP="00032A5B">
      <w:pPr>
        <w:pStyle w:val="loose"/>
        <w:ind w:left="154" w:right="154"/>
        <w:rPr>
          <w:sz w:val="20"/>
          <w:szCs w:val="20"/>
        </w:rPr>
      </w:pPr>
      <w:r w:rsidRPr="00410425">
        <w:rPr>
          <w:sz w:val="20"/>
          <w:szCs w:val="20"/>
        </w:rPr>
        <w:t>In September of 1955, Jim called Joe and arranged</w:t>
      </w:r>
      <w:bookmarkStart w:id="25" w:name="PAGE_5_1292"/>
      <w:bookmarkEnd w:id="25"/>
      <w:r w:rsidRPr="00410425">
        <w:rPr>
          <w:sz w:val="20"/>
          <w:szCs w:val="20"/>
        </w:rPr>
        <w:t xml:space="preserve"> to meet with him in </w:t>
      </w:r>
      <w:smartTag w:uri="urn:schemas-microsoft-com:office:smarttags" w:element="State">
        <w:r w:rsidRPr="00410425">
          <w:rPr>
            <w:sz w:val="20"/>
            <w:szCs w:val="20"/>
          </w:rPr>
          <w:t>Massachusetts</w:t>
        </w:r>
      </w:smartTag>
      <w:r w:rsidRPr="00410425">
        <w:rPr>
          <w:sz w:val="20"/>
          <w:szCs w:val="20"/>
        </w:rPr>
        <w:t xml:space="preserve">, where </w:t>
      </w:r>
      <w:smartTag w:uri="urn:schemas-microsoft-com:office:smarttags" w:element="place">
        <w:r w:rsidRPr="00410425">
          <w:rPr>
            <w:sz w:val="20"/>
            <w:szCs w:val="20"/>
          </w:rPr>
          <w:t>New England</w:t>
        </w:r>
      </w:smartTag>
      <w:r w:rsidRPr="00410425">
        <w:rPr>
          <w:sz w:val="20"/>
          <w:szCs w:val="20"/>
        </w:rPr>
        <w:t xml:space="preserve"> school superintendents were holding an annual meeting. After the meeting, the two brothers sat on the back steps of the Ocean House, and Jim told Joe about Bill's illness, and asked Joe to join the family business. Jim related the full terms of the employment offer: salary, a company car, and insurance. </w:t>
      </w:r>
      <w:r>
        <w:rPr>
          <w:sz w:val="20"/>
          <w:szCs w:val="20"/>
        </w:rPr>
        <w:t xml:space="preserve"> </w:t>
      </w:r>
      <w:r w:rsidRPr="00410425">
        <w:rPr>
          <w:sz w:val="20"/>
          <w:szCs w:val="20"/>
        </w:rPr>
        <w:t xml:space="preserve">Joe asked Jim about retirement. Jim responded that retirement would be taken care of, and agreed that Joe would retire at salary. </w:t>
      </w:r>
    </w:p>
    <w:p w:rsidR="00032A5B" w:rsidRPr="00410425" w:rsidRDefault="00032A5B" w:rsidP="00032A5B">
      <w:pPr>
        <w:pStyle w:val="loose"/>
        <w:ind w:left="154" w:right="154"/>
        <w:rPr>
          <w:sz w:val="20"/>
          <w:szCs w:val="20"/>
        </w:rPr>
      </w:pPr>
      <w:r w:rsidRPr="00410425">
        <w:rPr>
          <w:sz w:val="20"/>
          <w:szCs w:val="20"/>
        </w:rPr>
        <w:t xml:space="preserve">Joe took several months to consider Jim's offer. </w:t>
      </w:r>
      <w:r>
        <w:rPr>
          <w:sz w:val="20"/>
          <w:szCs w:val="20"/>
        </w:rPr>
        <w:t xml:space="preserve"> </w:t>
      </w:r>
      <w:r w:rsidRPr="00410425">
        <w:rPr>
          <w:sz w:val="20"/>
          <w:szCs w:val="20"/>
        </w:rPr>
        <w:t xml:space="preserve">In the meantime, he received an offer to serve as superintendent of schools in a </w:t>
      </w:r>
      <w:smartTag w:uri="urn:schemas-microsoft-com:office:smarttags" w:element="State">
        <w:r w:rsidRPr="00410425">
          <w:rPr>
            <w:sz w:val="20"/>
            <w:szCs w:val="20"/>
          </w:rPr>
          <w:t>New Jersey</w:t>
        </w:r>
      </w:smartTag>
      <w:r w:rsidRPr="00410425">
        <w:rPr>
          <w:sz w:val="20"/>
          <w:szCs w:val="20"/>
        </w:rPr>
        <w:t xml:space="preserve"> district, a position which would have been more challenging, with greater potential for advancement, than his position in </w:t>
      </w:r>
      <w:smartTag w:uri="urn:schemas-microsoft-com:office:smarttags" w:element="place">
        <w:smartTag w:uri="urn:schemas-microsoft-com:office:smarttags" w:element="City">
          <w:r w:rsidRPr="00410425">
            <w:rPr>
              <w:sz w:val="20"/>
              <w:szCs w:val="20"/>
            </w:rPr>
            <w:t>Easthampton</w:t>
          </w:r>
        </w:smartTag>
      </w:smartTag>
      <w:r w:rsidRPr="00410425">
        <w:rPr>
          <w:sz w:val="20"/>
          <w:szCs w:val="20"/>
        </w:rPr>
        <w:t xml:space="preserve">. </w:t>
      </w:r>
      <w:r>
        <w:rPr>
          <w:sz w:val="20"/>
          <w:szCs w:val="20"/>
        </w:rPr>
        <w:t xml:space="preserve"> </w:t>
      </w:r>
      <w:r w:rsidRPr="00410425">
        <w:rPr>
          <w:sz w:val="20"/>
          <w:szCs w:val="20"/>
        </w:rPr>
        <w:t xml:space="preserve">He also was offered a renewal of his contract in </w:t>
      </w:r>
      <w:smartTag w:uri="urn:schemas-microsoft-com:office:smarttags" w:element="place">
        <w:smartTag w:uri="urn:schemas-microsoft-com:office:smarttags" w:element="City">
          <w:r w:rsidRPr="00410425">
            <w:rPr>
              <w:sz w:val="20"/>
              <w:szCs w:val="20"/>
            </w:rPr>
            <w:t>Easthampton</w:t>
          </w:r>
        </w:smartTag>
      </w:smartTag>
      <w:r w:rsidRPr="00410425">
        <w:rPr>
          <w:sz w:val="20"/>
          <w:szCs w:val="20"/>
        </w:rPr>
        <w:t xml:space="preserve">. </w:t>
      </w:r>
      <w:r>
        <w:rPr>
          <w:sz w:val="20"/>
          <w:szCs w:val="20"/>
        </w:rPr>
        <w:t xml:space="preserve"> </w:t>
      </w:r>
      <w:r w:rsidRPr="00410425">
        <w:rPr>
          <w:sz w:val="20"/>
          <w:szCs w:val="20"/>
        </w:rPr>
        <w:t xml:space="preserve">In mid-February of 1956, Joe prepared a list of the "pros" and "cons" of joining in the family business in </w:t>
      </w:r>
      <w:smartTag w:uri="urn:schemas-microsoft-com:office:smarttags" w:element="place">
        <w:smartTag w:uri="urn:schemas-microsoft-com:office:smarttags" w:element="City">
          <w:r w:rsidRPr="00410425">
            <w:rPr>
              <w:sz w:val="20"/>
              <w:szCs w:val="20"/>
            </w:rPr>
            <w:t>Andover</w:t>
          </w:r>
        </w:smartTag>
      </w:smartTag>
      <w:r w:rsidRPr="00410425">
        <w:rPr>
          <w:sz w:val="20"/>
          <w:szCs w:val="20"/>
        </w:rPr>
        <w:t xml:space="preserve">. Among the "cons" listed was "all retirement benefits wasted," but among the "pros" was "improved retirement plan." </w:t>
      </w:r>
      <w:r>
        <w:rPr>
          <w:sz w:val="20"/>
          <w:szCs w:val="20"/>
        </w:rPr>
        <w:t xml:space="preserve"> </w:t>
      </w:r>
      <w:r w:rsidRPr="00410425">
        <w:rPr>
          <w:sz w:val="20"/>
          <w:szCs w:val="20"/>
        </w:rPr>
        <w:t xml:space="preserve">Sometime in March of 1956, Joe informed his brothers that he had decided to accept their offer. The brothers met at a restaurant in </w:t>
      </w:r>
      <w:smartTag w:uri="urn:schemas-microsoft-com:office:smarttags" w:element="place">
        <w:smartTag w:uri="urn:schemas-microsoft-com:office:smarttags" w:element="City">
          <w:r w:rsidRPr="00410425">
            <w:rPr>
              <w:sz w:val="20"/>
              <w:szCs w:val="20"/>
            </w:rPr>
            <w:t>Sturbridge</w:t>
          </w:r>
        </w:smartTag>
        <w:r w:rsidRPr="00410425">
          <w:rPr>
            <w:sz w:val="20"/>
            <w:szCs w:val="20"/>
          </w:rPr>
          <w:t xml:space="preserve">, </w:t>
        </w:r>
        <w:smartTag w:uri="urn:schemas-microsoft-com:office:smarttags" w:element="State">
          <w:r w:rsidRPr="00410425">
            <w:rPr>
              <w:sz w:val="20"/>
              <w:szCs w:val="20"/>
            </w:rPr>
            <w:t>Massachusetts</w:t>
          </w:r>
        </w:smartTag>
      </w:smartTag>
      <w:r w:rsidRPr="00410425">
        <w:rPr>
          <w:sz w:val="20"/>
          <w:szCs w:val="20"/>
        </w:rPr>
        <w:t xml:space="preserve">, for a luncheon to celebrate Joe's decision. </w:t>
      </w:r>
      <w:r>
        <w:rPr>
          <w:sz w:val="20"/>
          <w:szCs w:val="20"/>
        </w:rPr>
        <w:t xml:space="preserve"> </w:t>
      </w:r>
      <w:r w:rsidRPr="00410425">
        <w:rPr>
          <w:sz w:val="20"/>
          <w:szCs w:val="20"/>
        </w:rPr>
        <w:t xml:space="preserve">Subsequently, Joe and his family moved to </w:t>
      </w:r>
      <w:smartTag w:uri="urn:schemas-microsoft-com:office:smarttags" w:element="place">
        <w:smartTag w:uri="urn:schemas-microsoft-com:office:smarttags" w:element="City">
          <w:r w:rsidRPr="00410425">
            <w:rPr>
              <w:sz w:val="20"/>
              <w:szCs w:val="20"/>
            </w:rPr>
            <w:t>Andover</w:t>
          </w:r>
        </w:smartTag>
      </w:smartTag>
      <w:r w:rsidRPr="00410425">
        <w:rPr>
          <w:sz w:val="20"/>
          <w:szCs w:val="20"/>
        </w:rPr>
        <w:t>, and he began working with his brothers in July 1956.</w:t>
      </w:r>
    </w:p>
    <w:p w:rsidR="00032A5B" w:rsidRPr="00410425" w:rsidRDefault="00032A5B" w:rsidP="00032A5B">
      <w:pPr>
        <w:pStyle w:val="loose"/>
        <w:ind w:left="154" w:right="154"/>
        <w:rPr>
          <w:sz w:val="20"/>
          <w:szCs w:val="20"/>
        </w:rPr>
      </w:pPr>
      <w:r w:rsidRPr="00410425">
        <w:rPr>
          <w:sz w:val="20"/>
          <w:szCs w:val="20"/>
        </w:rPr>
        <w:t xml:space="preserve">Upon Joe's move to </w:t>
      </w:r>
      <w:smartTag w:uri="urn:schemas-microsoft-com:office:smarttags" w:element="place">
        <w:smartTag w:uri="urn:schemas-microsoft-com:office:smarttags" w:element="City">
          <w:r w:rsidRPr="00410425">
            <w:rPr>
              <w:sz w:val="20"/>
              <w:szCs w:val="20"/>
            </w:rPr>
            <w:t>Andover</w:t>
          </w:r>
        </w:smartTag>
      </w:smartTag>
      <w:r w:rsidRPr="00410425">
        <w:rPr>
          <w:sz w:val="20"/>
          <w:szCs w:val="20"/>
        </w:rPr>
        <w:t>, the brothers formed two corporations,</w:t>
      </w:r>
      <w:r w:rsidRPr="00D008C6">
        <w:rPr>
          <w:sz w:val="20"/>
          <w:szCs w:val="20"/>
        </w:rPr>
        <w:t xml:space="preserve"> </w:t>
      </w:r>
      <w:bookmarkStart w:id="26" w:name="HIT_5"/>
      <w:bookmarkStart w:id="27" w:name="ORIGHIT_5"/>
      <w:bookmarkEnd w:id="26"/>
      <w:bookmarkEnd w:id="27"/>
      <w:r w:rsidRPr="00D008C6">
        <w:rPr>
          <w:rStyle w:val="hit"/>
          <w:sz w:val="20"/>
          <w:szCs w:val="20"/>
        </w:rPr>
        <w:t>Doherty Insurance</w:t>
      </w:r>
      <w:r w:rsidRPr="00D008C6">
        <w:rPr>
          <w:sz w:val="20"/>
          <w:szCs w:val="20"/>
        </w:rPr>
        <w:t xml:space="preserve"> Ag</w:t>
      </w:r>
      <w:r w:rsidRPr="00410425">
        <w:rPr>
          <w:sz w:val="20"/>
          <w:szCs w:val="20"/>
        </w:rPr>
        <w:t xml:space="preserve">ency, Inc. ("Insurance") and Doherty Realty Agency, Inc. ("Realty").  Insurance was the corporate successor to Jim's and Bill's earlier partnership. </w:t>
      </w:r>
      <w:r>
        <w:rPr>
          <w:sz w:val="20"/>
          <w:szCs w:val="20"/>
        </w:rPr>
        <w:t xml:space="preserve"> </w:t>
      </w:r>
      <w:r w:rsidRPr="00410425">
        <w:rPr>
          <w:sz w:val="20"/>
          <w:szCs w:val="20"/>
        </w:rPr>
        <w:t xml:space="preserve">Bill and Jim were the sole shareholders of Insurance, but the three brothers held equal shares in Realty. The three brothers served as directors for each of the two corporations. </w:t>
      </w:r>
      <w:r>
        <w:rPr>
          <w:sz w:val="20"/>
          <w:szCs w:val="20"/>
        </w:rPr>
        <w:t xml:space="preserve"> </w:t>
      </w:r>
      <w:r w:rsidRPr="00410425">
        <w:rPr>
          <w:sz w:val="20"/>
          <w:szCs w:val="20"/>
        </w:rPr>
        <w:t xml:space="preserve">Joe was elected president of both corporations. </w:t>
      </w:r>
      <w:r>
        <w:rPr>
          <w:sz w:val="20"/>
          <w:szCs w:val="20"/>
        </w:rPr>
        <w:t xml:space="preserve"> </w:t>
      </w:r>
      <w:r w:rsidRPr="00410425">
        <w:rPr>
          <w:sz w:val="20"/>
          <w:szCs w:val="20"/>
        </w:rPr>
        <w:t xml:space="preserve">The two corporations shared a small office in </w:t>
      </w:r>
      <w:smartTag w:uri="urn:schemas-microsoft-com:office:smarttags" w:element="place">
        <w:smartTag w:uri="urn:schemas-microsoft-com:office:smarttags" w:element="City">
          <w:r w:rsidRPr="00410425">
            <w:rPr>
              <w:sz w:val="20"/>
              <w:szCs w:val="20"/>
            </w:rPr>
            <w:t>Andover</w:t>
          </w:r>
        </w:smartTag>
      </w:smartTag>
      <w:r w:rsidRPr="00410425">
        <w:rPr>
          <w:sz w:val="20"/>
          <w:szCs w:val="20"/>
        </w:rPr>
        <w:t xml:space="preserve">. </w:t>
      </w:r>
    </w:p>
    <w:p w:rsidR="00032A5B" w:rsidRPr="00410425" w:rsidRDefault="00032A5B" w:rsidP="00032A5B">
      <w:pPr>
        <w:pStyle w:val="loose"/>
        <w:ind w:left="154" w:right="154"/>
        <w:rPr>
          <w:sz w:val="20"/>
          <w:szCs w:val="20"/>
        </w:rPr>
      </w:pPr>
      <w:r w:rsidRPr="00410425">
        <w:rPr>
          <w:sz w:val="20"/>
          <w:szCs w:val="20"/>
        </w:rPr>
        <w:lastRenderedPageBreak/>
        <w:t xml:space="preserve">Upon Joe's arrival, </w:t>
      </w:r>
      <w:bookmarkStart w:id="28" w:name="PAGE_7_1292"/>
      <w:bookmarkEnd w:id="28"/>
      <w:r w:rsidRPr="00410425">
        <w:rPr>
          <w:sz w:val="20"/>
          <w:szCs w:val="20"/>
        </w:rPr>
        <w:t xml:space="preserve">the three brothers agreed that the first order of business was for Joe to obtain a license to sell insurance. </w:t>
      </w:r>
      <w:r>
        <w:rPr>
          <w:sz w:val="20"/>
          <w:szCs w:val="20"/>
        </w:rPr>
        <w:t xml:space="preserve"> </w:t>
      </w:r>
      <w:r w:rsidRPr="00410425">
        <w:rPr>
          <w:sz w:val="20"/>
          <w:szCs w:val="20"/>
        </w:rPr>
        <w:t xml:space="preserve">Joe was tutored for his insurance exam, and after obtaining his insurance license </w:t>
      </w:r>
      <w:bookmarkStart w:id="29" w:name="PAGE_549_1102"/>
      <w:bookmarkEnd w:id="29"/>
      <w:r w:rsidRPr="00410425">
        <w:rPr>
          <w:sz w:val="20"/>
          <w:szCs w:val="20"/>
        </w:rPr>
        <w:t xml:space="preserve">late in the summer of 1956, attended an intensive five-week course about insurance. Joe subsequently became a real estate broker and an appraiser, and worked primarily in the real estate side of the business. </w:t>
      </w:r>
      <w:r>
        <w:rPr>
          <w:sz w:val="20"/>
          <w:szCs w:val="20"/>
        </w:rPr>
        <w:t xml:space="preserve"> </w:t>
      </w:r>
      <w:r w:rsidRPr="00410425">
        <w:rPr>
          <w:sz w:val="20"/>
          <w:szCs w:val="20"/>
        </w:rPr>
        <w:t xml:space="preserve">From late 1956 until Joe's retirement in 1978, Insurance paid Joe's weekly salary. </w:t>
      </w:r>
    </w:p>
    <w:p w:rsidR="00032A5B" w:rsidRPr="00410425" w:rsidRDefault="00032A5B" w:rsidP="00032A5B">
      <w:pPr>
        <w:pStyle w:val="loose"/>
        <w:ind w:left="154" w:right="154"/>
        <w:rPr>
          <w:sz w:val="20"/>
          <w:szCs w:val="20"/>
        </w:rPr>
      </w:pPr>
      <w:r w:rsidRPr="00410425">
        <w:rPr>
          <w:sz w:val="20"/>
          <w:szCs w:val="20"/>
        </w:rPr>
        <w:t xml:space="preserve">In addition to receiving his salary from Insurance, Joe was covered under Insurance's medical plan, had life insurance through Insurance, and was listed as a full-time employee of Insurance. The three brothers shared equally in annual profit sharing payments received by Insurance. </w:t>
      </w:r>
    </w:p>
    <w:p w:rsidR="00032A5B" w:rsidRPr="00410425" w:rsidRDefault="00032A5B" w:rsidP="00032A5B">
      <w:pPr>
        <w:pStyle w:val="loose"/>
        <w:ind w:left="154" w:right="154"/>
        <w:rPr>
          <w:sz w:val="20"/>
          <w:szCs w:val="20"/>
        </w:rPr>
      </w:pPr>
      <w:r w:rsidRPr="00410425">
        <w:rPr>
          <w:sz w:val="20"/>
          <w:szCs w:val="20"/>
        </w:rPr>
        <w:t xml:space="preserve">In 1970, Bill retired from Insurance at full salary. In 1975, just before Joe's 65th birthday, Jim "reminded" Joe that Joe was eligible for retirement on the same terms as those enjoyed by Bill. Joe retired on </w:t>
      </w:r>
      <w:smartTag w:uri="urn:schemas-microsoft-com:office:smarttags" w:element="date">
        <w:smartTagPr>
          <w:attr w:name="ls" w:val="trans"/>
          <w:attr w:name="Month" w:val="1"/>
          <w:attr w:name="Day" w:val="1"/>
          <w:attr w:name="Year" w:val="1978"/>
        </w:smartTagPr>
        <w:r w:rsidRPr="00410425">
          <w:rPr>
            <w:sz w:val="20"/>
            <w:szCs w:val="20"/>
          </w:rPr>
          <w:t>January 1, 1978</w:t>
        </w:r>
      </w:smartTag>
      <w:r w:rsidRPr="00410425">
        <w:rPr>
          <w:sz w:val="20"/>
          <w:szCs w:val="20"/>
        </w:rPr>
        <w:t>. Initially, he received payments in the amount of $2,000 per month, on checks drawn on Insurance's corporate bank account. Later, the amount was reduced slightly to an amount representing Joe's salary less any social security benefits he received. Jim retired in 1980 on the same terms. Insurance's financial statements reflected the retirement payments to the three</w:t>
      </w:r>
      <w:bookmarkStart w:id="30" w:name="PAGE_10_1292"/>
      <w:bookmarkEnd w:id="30"/>
      <w:r>
        <w:rPr>
          <w:sz w:val="20"/>
          <w:szCs w:val="20"/>
        </w:rPr>
        <w:t> </w:t>
      </w:r>
      <w:r w:rsidRPr="00410425">
        <w:rPr>
          <w:sz w:val="20"/>
          <w:szCs w:val="20"/>
        </w:rPr>
        <w:t xml:space="preserve">brothers (and others) under the heading "Commitments." </w:t>
      </w:r>
      <w:r>
        <w:rPr>
          <w:sz w:val="20"/>
          <w:szCs w:val="20"/>
        </w:rPr>
        <w:t xml:space="preserve"> </w:t>
      </w:r>
      <w:r w:rsidRPr="00410425">
        <w:rPr>
          <w:sz w:val="20"/>
          <w:szCs w:val="20"/>
        </w:rPr>
        <w:t>Th</w:t>
      </w:r>
      <w:r>
        <w:rPr>
          <w:sz w:val="20"/>
          <w:szCs w:val="20"/>
        </w:rPr>
        <w:t>e statements for the years 1977–</w:t>
      </w:r>
      <w:r w:rsidRPr="00410425">
        <w:rPr>
          <w:sz w:val="20"/>
          <w:szCs w:val="20"/>
        </w:rPr>
        <w:t xml:space="preserve">1981 noted, "The Agency has unfunded deferred compensation agreements with four former officers and employees; whereby, the Agency is required to pay benefits aggregating annually for their remaining lives." </w:t>
      </w:r>
    </w:p>
    <w:p w:rsidR="00032A5B" w:rsidRPr="00410425" w:rsidRDefault="00032A5B" w:rsidP="00032A5B">
      <w:pPr>
        <w:pStyle w:val="loose"/>
        <w:ind w:left="154" w:right="154"/>
        <w:rPr>
          <w:sz w:val="20"/>
          <w:szCs w:val="20"/>
        </w:rPr>
      </w:pPr>
      <w:r w:rsidRPr="00410425">
        <w:rPr>
          <w:sz w:val="20"/>
          <w:szCs w:val="20"/>
        </w:rPr>
        <w:t xml:space="preserve">Upon Jim's retirement, the business passed on to the next generation. Jim's children ran Insurance, while some of Joe's children were responsible for Realty. In 1981, a dispute arose, and Joe's children left the business. At the next meeting of Insurance's board of directors, on </w:t>
      </w:r>
      <w:smartTag w:uri="urn:schemas-microsoft-com:office:smarttags" w:element="date">
        <w:smartTagPr>
          <w:attr w:name="Year" w:val="1982"/>
          <w:attr w:name="Day" w:val="5"/>
          <w:attr w:name="Month" w:val="1"/>
          <w:attr w:name="ls" w:val="trans"/>
        </w:smartTagPr>
        <w:r w:rsidRPr="00410425">
          <w:rPr>
            <w:sz w:val="20"/>
            <w:szCs w:val="20"/>
          </w:rPr>
          <w:t>January 5, 1982</w:t>
        </w:r>
      </w:smartTag>
      <w:r w:rsidRPr="00410425">
        <w:rPr>
          <w:sz w:val="20"/>
          <w:szCs w:val="20"/>
        </w:rPr>
        <w:t>, Jim's children voted to terminate Joe's retirement payments. Joe never received another retirement check from Insurance. However, the pension payments to Jim and Bill w</w:t>
      </w:r>
      <w:r>
        <w:rPr>
          <w:sz w:val="20"/>
          <w:szCs w:val="20"/>
        </w:rPr>
        <w:t>ere continued. Insurance's 1981–</w:t>
      </w:r>
      <w:r w:rsidRPr="00410425">
        <w:rPr>
          <w:sz w:val="20"/>
          <w:szCs w:val="20"/>
        </w:rPr>
        <w:t xml:space="preserve">1982 financial statement reflected this change, noting, under the heading "Commitments," that "The Agency has </w:t>
      </w:r>
      <w:r w:rsidRPr="00410425">
        <w:rPr>
          <w:rStyle w:val="italic"/>
          <w:sz w:val="20"/>
          <w:szCs w:val="20"/>
        </w:rPr>
        <w:t>revocable</w:t>
      </w:r>
      <w:r w:rsidRPr="00410425">
        <w:rPr>
          <w:sz w:val="20"/>
          <w:szCs w:val="20"/>
        </w:rPr>
        <w:t xml:space="preserve"> unfunded deferred </w:t>
      </w:r>
      <w:r>
        <w:rPr>
          <w:sz w:val="20"/>
          <w:szCs w:val="20"/>
        </w:rPr>
        <w:t>compensation agreements. . . ."</w:t>
      </w:r>
    </w:p>
    <w:p w:rsidR="00032A5B" w:rsidRPr="00410425" w:rsidRDefault="00032A5B" w:rsidP="00032A5B">
      <w:pPr>
        <w:pStyle w:val="loose"/>
        <w:ind w:left="154" w:right="154"/>
        <w:rPr>
          <w:sz w:val="20"/>
          <w:szCs w:val="20"/>
        </w:rPr>
      </w:pPr>
      <w:bookmarkStart w:id="31" w:name="PAGE_550_1102"/>
      <w:bookmarkEnd w:id="31"/>
      <w:r w:rsidRPr="00410425">
        <w:rPr>
          <w:sz w:val="20"/>
          <w:szCs w:val="20"/>
        </w:rPr>
        <w:t>We are satisfied that a reasonable jury could, from these facts, find for plaintiff Joseph Doherty. The discussion between Joe and Jim on the steps of the Ocean</w:t>
      </w:r>
      <w:bookmarkStart w:id="32" w:name="PAGE_11_1292"/>
      <w:bookmarkEnd w:id="32"/>
      <w:r w:rsidRPr="00410425">
        <w:rPr>
          <w:sz w:val="20"/>
          <w:szCs w:val="20"/>
        </w:rPr>
        <w:t xml:space="preserve"> House in 1956, as related by Joe, supports Joe's claim that the brothers exchanged mutual promises concerning the terms of Joe's future employment, including Jim's promise to pay lifetime retirement benefits. </w:t>
      </w:r>
      <w:r>
        <w:rPr>
          <w:sz w:val="20"/>
          <w:szCs w:val="20"/>
        </w:rPr>
        <w:t xml:space="preserve"> </w:t>
      </w:r>
      <w:r w:rsidRPr="00410425">
        <w:rPr>
          <w:sz w:val="20"/>
          <w:szCs w:val="20"/>
        </w:rPr>
        <w:t>The parties' subsequent conduct tends to confirm the existence of such a promise. Joe forfeited 18 years of accrued retirement benefits in order to work with his brothers.</w:t>
      </w:r>
      <w:r>
        <w:rPr>
          <w:sz w:val="20"/>
          <w:szCs w:val="20"/>
        </w:rPr>
        <w:t xml:space="preserve"> </w:t>
      </w:r>
      <w:r w:rsidRPr="00410425">
        <w:rPr>
          <w:sz w:val="20"/>
          <w:szCs w:val="20"/>
        </w:rPr>
        <w:t xml:space="preserve"> Joe's "pros and cons" list included the "pro" of an improved retirement plan. </w:t>
      </w:r>
      <w:r>
        <w:rPr>
          <w:sz w:val="20"/>
          <w:szCs w:val="20"/>
        </w:rPr>
        <w:t xml:space="preserve"> </w:t>
      </w:r>
      <w:r w:rsidRPr="00410425">
        <w:rPr>
          <w:sz w:val="20"/>
          <w:szCs w:val="20"/>
        </w:rPr>
        <w:t xml:space="preserve">Many years later, Jim "reminded" Joe that he would be eligible to retire at full salary upon his 65th birthday. </w:t>
      </w:r>
      <w:r>
        <w:rPr>
          <w:sz w:val="20"/>
          <w:szCs w:val="20"/>
        </w:rPr>
        <w:t xml:space="preserve"> </w:t>
      </w:r>
      <w:r w:rsidRPr="00410425">
        <w:rPr>
          <w:sz w:val="20"/>
          <w:szCs w:val="20"/>
        </w:rPr>
        <w:t xml:space="preserve">Insurance's financial statement tended to confirm an agreement, and Insurance actually paid Joe's pension for four years before recharacterizing the agreement as "revocable" and terminating the pension checks. </w:t>
      </w:r>
      <w:r>
        <w:rPr>
          <w:sz w:val="20"/>
          <w:szCs w:val="20"/>
        </w:rPr>
        <w:t xml:space="preserve"> </w:t>
      </w:r>
      <w:r w:rsidRPr="00410425">
        <w:rPr>
          <w:sz w:val="20"/>
          <w:szCs w:val="20"/>
        </w:rPr>
        <w:t xml:space="preserve">A reasonable jury could have inferred from this history that retirement at full salary was part of the basic understanding between Jim and Joe. </w:t>
      </w:r>
      <w:r>
        <w:rPr>
          <w:sz w:val="20"/>
          <w:szCs w:val="20"/>
        </w:rPr>
        <w:t>. . .</w:t>
      </w:r>
    </w:p>
    <w:p w:rsidR="00032A5B" w:rsidRPr="00410425" w:rsidRDefault="00032A5B" w:rsidP="00032A5B">
      <w:pPr>
        <w:pStyle w:val="loose"/>
        <w:ind w:left="154" w:right="154"/>
        <w:rPr>
          <w:sz w:val="20"/>
          <w:szCs w:val="20"/>
        </w:rPr>
      </w:pPr>
      <w:r w:rsidRPr="00410425">
        <w:rPr>
          <w:sz w:val="20"/>
          <w:szCs w:val="20"/>
        </w:rPr>
        <w:t xml:space="preserve">We conclude that the district court did not err in leaving it to the jury to resolve the parties' dispute over the existence of a retirement agreement for Joe. </w:t>
      </w:r>
    </w:p>
    <w:p w:rsidR="00032A5B" w:rsidRDefault="00032A5B" w:rsidP="00032A5B">
      <w:pPr>
        <w:ind w:left="154" w:right="154"/>
      </w:pPr>
      <w:r w:rsidRPr="00410425">
        <w:rPr>
          <w:rStyle w:val="bold"/>
        </w:rPr>
        <w:t xml:space="preserve">III. </w:t>
      </w:r>
      <w:r>
        <w:rPr>
          <w:rStyle w:val="bold"/>
        </w:rPr>
        <w:t xml:space="preserve">   </w:t>
      </w:r>
      <w:r w:rsidRPr="00410425">
        <w:t xml:space="preserve">[omitted] </w:t>
      </w:r>
    </w:p>
    <w:p w:rsidR="00032A5B" w:rsidRDefault="00032A5B" w:rsidP="00032A5B">
      <w:pPr>
        <w:ind w:left="154" w:right="154"/>
        <w:rPr>
          <w:rStyle w:val="bold"/>
        </w:rPr>
      </w:pPr>
    </w:p>
    <w:p w:rsidR="00032A5B" w:rsidRPr="00410425" w:rsidRDefault="00032A5B" w:rsidP="00032A5B">
      <w:pPr>
        <w:ind w:left="154" w:right="154"/>
      </w:pPr>
      <w:r w:rsidRPr="00410425">
        <w:rPr>
          <w:rStyle w:val="bold"/>
        </w:rPr>
        <w:t xml:space="preserve">IV. </w:t>
      </w:r>
      <w:r>
        <w:rPr>
          <w:rStyle w:val="bold"/>
        </w:rPr>
        <w:t xml:space="preserve">  </w:t>
      </w:r>
      <w:r w:rsidRPr="00410425">
        <w:t>Insurance argues that enforcement of the oral contract</w:t>
      </w:r>
      <w:bookmarkStart w:id="33" w:name="PAGE_16_1292"/>
      <w:bookmarkEnd w:id="33"/>
      <w:r w:rsidRPr="00410425">
        <w:t xml:space="preserve"> for lifetime employment, including retirement benefits, is barred by the Massachusetts statute of frauds, because it was impossible for the parties to perform the contract within a year.</w:t>
      </w:r>
      <w:bookmarkStart w:id="34" w:name="ref5"/>
      <w:r w:rsidRPr="00410425">
        <w:rPr>
          <w:rStyle w:val="blue"/>
          <w:color w:val="000000"/>
          <w:vertAlign w:val="superscript"/>
        </w:rPr>
        <w:t>5</w:t>
      </w:r>
      <w:bookmarkEnd w:id="34"/>
      <w:r w:rsidRPr="00410425">
        <w:t xml:space="preserve">  Massachusetts courts, however, have consistently ruled that "this clause of the statute [exempting contracts capable of performance in a year's time] applies only to contracts which by their terms cannot be performed within the year. It does not apply to contracts which may be performed within, although they may also extend beyond, that period." . . .  A contract for lifetime employment is not subject to the statute of frauds, because the contract may be performed </w:t>
      </w:r>
      <w:bookmarkStart w:id="35" w:name="PAGE_552_1102"/>
      <w:bookmarkEnd w:id="35"/>
      <w:r w:rsidRPr="00410425">
        <w:t>within one year if the employee happens to die within the year.</w:t>
      </w:r>
      <w:r>
        <w:t xml:space="preserve"> </w:t>
      </w:r>
      <w:r w:rsidRPr="00410425">
        <w:t xml:space="preserve">. . </w:t>
      </w:r>
      <w:r>
        <w:t>.</w:t>
      </w:r>
    </w:p>
    <w:p w:rsidR="00032A5B" w:rsidRPr="00410425" w:rsidRDefault="00032A5B" w:rsidP="00032A5B">
      <w:pPr>
        <w:ind w:left="154" w:right="154"/>
      </w:pPr>
      <w:bookmarkStart w:id="36" w:name="fnote4"/>
      <w:bookmarkStart w:id="37" w:name="fnote5"/>
      <w:bookmarkEnd w:id="36"/>
      <w:bookmarkEnd w:id="37"/>
      <w:r w:rsidRPr="00410425">
        <w:t>The fact that the present contract provided for retirement benefits and that the instant dispute, arising during Joe's senior years, pertains to the payment of compensation during retirement, does not indicate that the contract could not have been performed within its initial year, had Joe had the misfortune to die then, while still in his 40s. The jury expressly found</w:t>
      </w:r>
      <w:bookmarkStart w:id="38" w:name="PAGE_20_1292"/>
      <w:bookmarkEnd w:id="38"/>
      <w:r w:rsidRPr="00410425">
        <w:t> that in exchange for Joe's promise to join his brothers in Andover and "work with them for the balance of his working days," Jim (on behalf of Insurance) promised that Joe's "compensation would include retirement benefits for his remaining life." If Joe were to have died within the year, he would have completely fulfilled his promise to work "for the balance of his working days" (because his working days would have been over), and Insurance would have fulfilled its promise to compensate him for his remaining life.</w:t>
      </w:r>
      <w:bookmarkStart w:id="39" w:name="ref6"/>
      <w:r w:rsidRPr="00410425">
        <w:rPr>
          <w:rStyle w:val="blue"/>
          <w:color w:val="000000"/>
          <w:vertAlign w:val="superscript"/>
        </w:rPr>
        <w:t>6</w:t>
      </w:r>
      <w:bookmarkEnd w:id="39"/>
      <w:r w:rsidRPr="00410425">
        <w:t xml:space="preserve">  The contract was analogous, therefore, to a contract for </w:t>
      </w:r>
      <w:r w:rsidRPr="00410425">
        <w:lastRenderedPageBreak/>
        <w:t xml:space="preserve">lifetime employment rather than to one for a term of years. This oral agreement falls outside the statute of frauds, because it "may [have been] performed within, although [it] may also extend beyond, [a one-year] period."  The oral agreement was enforceable under </w:t>
      </w:r>
      <w:smartTag w:uri="urn:schemas-microsoft-com:office:smarttags" w:element="place">
        <w:smartTag w:uri="urn:schemas-microsoft-com:office:smarttags" w:element="State">
          <w:r w:rsidRPr="00410425">
            <w:t>Massachusetts</w:t>
          </w:r>
        </w:smartTag>
      </w:smartTag>
      <w:r w:rsidRPr="00410425">
        <w:t xml:space="preserve"> law.</w:t>
      </w:r>
    </w:p>
    <w:p w:rsidR="00032A5B" w:rsidRPr="00410425" w:rsidRDefault="00032A5B" w:rsidP="00032A5B">
      <w:pPr>
        <w:ind w:left="154" w:right="154"/>
        <w:rPr>
          <w:rStyle w:val="verdana"/>
        </w:rPr>
      </w:pPr>
      <w:r w:rsidRPr="00410425">
        <w:br/>
      </w:r>
      <w:bookmarkStart w:id="40" w:name="fnote6"/>
      <w:bookmarkEnd w:id="40"/>
    </w:p>
    <w:p w:rsidR="00032A5B" w:rsidRPr="00410425" w:rsidRDefault="00032A5B" w:rsidP="00032A5B">
      <w:pPr>
        <w:ind w:left="154" w:right="154"/>
      </w:pPr>
      <w:r w:rsidRPr="00410425">
        <w:rPr>
          <w:rStyle w:val="bold"/>
        </w:rPr>
        <w:t xml:space="preserve">V. </w:t>
      </w:r>
      <w:r>
        <w:rPr>
          <w:rStyle w:val="bold"/>
        </w:rPr>
        <w:t xml:space="preserve">  </w:t>
      </w:r>
      <w:r w:rsidRPr="00410425">
        <w:t xml:space="preserve">[omitted] </w:t>
      </w:r>
    </w:p>
    <w:p w:rsidR="00032A5B" w:rsidRDefault="00032A5B" w:rsidP="00032A5B">
      <w:pPr>
        <w:ind w:left="154" w:right="154"/>
        <w:rPr>
          <w:rStyle w:val="verdana"/>
        </w:rPr>
      </w:pPr>
    </w:p>
    <w:p w:rsidR="00032A5B" w:rsidRDefault="00032A5B" w:rsidP="00032A5B">
      <w:pPr>
        <w:ind w:left="154" w:right="154"/>
        <w:rPr>
          <w:rStyle w:val="verdana"/>
        </w:rPr>
      </w:pPr>
      <w:r w:rsidRPr="00410425">
        <w:rPr>
          <w:rStyle w:val="verdana"/>
        </w:rPr>
        <w:t xml:space="preserve">There was no error. </w:t>
      </w:r>
    </w:p>
    <w:p w:rsidR="00032A5B" w:rsidRDefault="00032A5B" w:rsidP="00032A5B">
      <w:pPr>
        <w:ind w:left="154" w:right="154"/>
        <w:rPr>
          <w:rStyle w:val="italic"/>
        </w:rPr>
      </w:pPr>
    </w:p>
    <w:p w:rsidR="00032A5B" w:rsidRPr="00410425" w:rsidRDefault="00032A5B" w:rsidP="00032A5B">
      <w:pPr>
        <w:ind w:left="154" w:right="154"/>
      </w:pPr>
      <w:r w:rsidRPr="00410425">
        <w:rPr>
          <w:rStyle w:val="italic"/>
        </w:rPr>
        <w:t>Affirmed</w:t>
      </w:r>
      <w:r w:rsidRPr="00410425">
        <w:t xml:space="preserve">. </w:t>
      </w:r>
    </w:p>
    <w:p w:rsidR="00032A5B" w:rsidRDefault="00032A5B" w:rsidP="00032A5B">
      <w:pPr>
        <w:ind w:left="154" w:right="154"/>
      </w:pPr>
    </w:p>
    <w:p w:rsidR="00032A5B" w:rsidRDefault="00032A5B" w:rsidP="00032A5B">
      <w:pPr>
        <w:ind w:left="154" w:right="154"/>
      </w:pPr>
    </w:p>
    <w:p w:rsidR="00032A5B" w:rsidRDefault="00032A5B" w:rsidP="00032A5B">
      <w:pPr>
        <w:ind w:left="154" w:right="154"/>
      </w:pPr>
    </w:p>
    <w:p w:rsidR="00032A5B" w:rsidRDefault="00032A5B" w:rsidP="00032A5B">
      <w:pPr>
        <w:ind w:left="154" w:right="154"/>
      </w:pPr>
    </w:p>
    <w:p w:rsidR="00032A5B" w:rsidRDefault="00032A5B" w:rsidP="00032A5B">
      <w:pPr>
        <w:ind w:left="154" w:right="154"/>
      </w:pPr>
    </w:p>
    <w:p w:rsidR="00032A5B" w:rsidRPr="00410425" w:rsidRDefault="00032A5B" w:rsidP="00032A5B">
      <w:pPr>
        <w:ind w:left="154" w:right="154"/>
      </w:pPr>
      <w:r w:rsidRPr="00410425">
        <w:t>Footnotes:</w:t>
      </w:r>
    </w:p>
    <w:p w:rsidR="00032A5B" w:rsidRPr="00410425" w:rsidRDefault="00032A5B" w:rsidP="00032A5B">
      <w:pPr>
        <w:ind w:left="154" w:right="154"/>
      </w:pPr>
    </w:p>
    <w:p w:rsidR="00032A5B" w:rsidRPr="00410425" w:rsidRDefault="00032A5B" w:rsidP="00032A5B">
      <w:pPr>
        <w:ind w:left="154" w:right="154"/>
      </w:pPr>
      <w:r w:rsidRPr="00410425">
        <w:t xml:space="preserve">5 </w:t>
      </w:r>
      <w:bookmarkStart w:id="41" w:name="clsccl3"/>
      <w:bookmarkEnd w:id="41"/>
      <w:r w:rsidRPr="00410425">
        <w:rPr>
          <w:rStyle w:val="tightinline"/>
        </w:rPr>
        <w:t>The statute provides: “</w:t>
      </w:r>
      <w:r w:rsidRPr="00410425">
        <w:rPr>
          <w:rStyle w:val="bold"/>
        </w:rPr>
        <w:t>Actionable contracts; necessity of writing</w:t>
      </w:r>
      <w:r w:rsidRPr="00410425">
        <w:rPr>
          <w:rStyle w:val="ssl4"/>
        </w:rPr>
        <w:t xml:space="preserve">. </w:t>
      </w:r>
      <w:r>
        <w:rPr>
          <w:rStyle w:val="ssl4"/>
        </w:rPr>
        <w:t xml:space="preserve"> </w:t>
      </w:r>
      <w:r w:rsidRPr="00410425">
        <w:rPr>
          <w:rStyle w:val="ssl4"/>
        </w:rPr>
        <w:t xml:space="preserve">No action shall be brought: . . . upon an agreement that is not to be performed within one year from the making thereof; unless the promise, contract or agreement upon which such action is brought, or some memorandum or note thereof, is in writing and signed by the party to be charged therewith or by some person thereunto by him lawfully authorized.” </w:t>
      </w:r>
      <w:r w:rsidRPr="00410425">
        <w:rPr>
          <w:rStyle w:val="tightinline"/>
          <w:color w:val="000000"/>
        </w:rPr>
        <w:t>Mass.</w:t>
      </w:r>
      <w:r>
        <w:rPr>
          <w:rStyle w:val="tightinline"/>
          <w:color w:val="000000"/>
        </w:rPr>
        <w:t xml:space="preserve"> </w:t>
      </w:r>
      <w:r w:rsidRPr="00410425">
        <w:rPr>
          <w:rStyle w:val="tightinline"/>
          <w:color w:val="000000"/>
        </w:rPr>
        <w:t>Gen.</w:t>
      </w:r>
      <w:r>
        <w:rPr>
          <w:rStyle w:val="tightinline"/>
          <w:color w:val="000000"/>
        </w:rPr>
        <w:t xml:space="preserve"> </w:t>
      </w:r>
      <w:r w:rsidRPr="00410425">
        <w:rPr>
          <w:rStyle w:val="tightinline"/>
          <w:color w:val="000000"/>
        </w:rPr>
        <w:t xml:space="preserve">Laws ch. 259, § 1(5) </w:t>
      </w:r>
      <w:r w:rsidRPr="00410425">
        <w:rPr>
          <w:rStyle w:val="tightinline"/>
        </w:rPr>
        <w:t xml:space="preserve">(1986). </w:t>
      </w:r>
    </w:p>
    <w:p w:rsidR="00032A5B" w:rsidRPr="00410425" w:rsidRDefault="00032A5B" w:rsidP="00032A5B">
      <w:pPr>
        <w:ind w:left="154" w:right="154"/>
      </w:pPr>
    </w:p>
    <w:p w:rsidR="00032A5B" w:rsidRDefault="00032A5B" w:rsidP="00032A5B">
      <w:pPr>
        <w:ind w:left="154" w:right="154"/>
      </w:pPr>
      <w:r w:rsidRPr="00410425">
        <w:t xml:space="preserve">6 </w:t>
      </w:r>
      <w:r w:rsidRPr="00410425">
        <w:rPr>
          <w:rStyle w:val="tightinline"/>
        </w:rPr>
        <w:t xml:space="preserve">If Joe had died before retirement, Insurance would not have been required to provide retirement benefits. Insurance's promise was to provide retirement benefits for the duration of Joe's life </w:t>
      </w:r>
      <w:r w:rsidRPr="00410425">
        <w:rPr>
          <w:rStyle w:val="italic"/>
        </w:rPr>
        <w:t>after</w:t>
      </w:r>
      <w:r w:rsidRPr="00410425">
        <w:rPr>
          <w:rStyle w:val="tightinline"/>
        </w:rPr>
        <w:t xml:space="preserve"> completion of his "working days." If Joe had died during his working days, he would have had no remaining life during which to pay retirement. Therefore, upon Joe's death, Insurance would have fully performed its promise even though it never paid retirement benefits.</w:t>
      </w:r>
    </w:p>
    <w:p w:rsidR="003B21B5" w:rsidRPr="000B368D" w:rsidRDefault="00032A5B" w:rsidP="003B21B5">
      <w:pPr>
        <w:ind w:left="1200" w:right="1200"/>
        <w:jc w:val="center"/>
        <w:rPr>
          <w:bCs/>
          <w:color w:val="000000" w:themeColor="text1"/>
        </w:rPr>
      </w:pPr>
      <w:r>
        <w:br w:type="page"/>
      </w:r>
      <w:r w:rsidR="003B21B5" w:rsidRPr="000B368D">
        <w:rPr>
          <w:bCs/>
          <w:color w:val="000000" w:themeColor="text1"/>
        </w:rPr>
        <w:lastRenderedPageBreak/>
        <w:t>BARBARA SAWYER, APPELLANT v. MELBOURNE MILLS, JR., APPELLEE</w:t>
      </w:r>
    </w:p>
    <w:p w:rsidR="003B21B5" w:rsidRPr="000B368D" w:rsidRDefault="003B21B5" w:rsidP="003B21B5">
      <w:pPr>
        <w:rPr>
          <w:bCs/>
          <w:color w:val="000000" w:themeColor="text1"/>
        </w:rPr>
      </w:pPr>
    </w:p>
    <w:p w:rsidR="003B21B5" w:rsidRPr="000B368D" w:rsidRDefault="00024AE9" w:rsidP="003B21B5">
      <w:pPr>
        <w:ind w:left="1200" w:right="1200"/>
        <w:jc w:val="center"/>
        <w:rPr>
          <w:bCs/>
          <w:color w:val="000000" w:themeColor="text1"/>
        </w:rPr>
      </w:pPr>
      <w:r>
        <w:rPr>
          <w:bCs/>
          <w:color w:val="000000" w:themeColor="text1"/>
        </w:rPr>
        <w:t>Supreme Court o</w:t>
      </w:r>
      <w:r w:rsidRPr="000B368D">
        <w:rPr>
          <w:bCs/>
          <w:color w:val="000000" w:themeColor="text1"/>
        </w:rPr>
        <w:t>f Kentucky</w:t>
      </w:r>
    </w:p>
    <w:p w:rsidR="003B21B5" w:rsidRPr="000B368D" w:rsidRDefault="003B21B5" w:rsidP="003B21B5">
      <w:pPr>
        <w:rPr>
          <w:bCs/>
          <w:color w:val="000000" w:themeColor="text1"/>
        </w:rPr>
      </w:pPr>
    </w:p>
    <w:p w:rsidR="003B21B5" w:rsidRPr="000B368D" w:rsidRDefault="003B21B5" w:rsidP="003B21B5">
      <w:pPr>
        <w:ind w:left="1200" w:right="1200"/>
        <w:jc w:val="center"/>
        <w:rPr>
          <w:bCs/>
          <w:color w:val="000000" w:themeColor="text1"/>
        </w:rPr>
      </w:pPr>
      <w:r w:rsidRPr="000B368D">
        <w:rPr>
          <w:bCs/>
          <w:color w:val="000000" w:themeColor="text1"/>
        </w:rPr>
        <w:t>295 S.W.3d 79</w:t>
      </w:r>
    </w:p>
    <w:p w:rsidR="003B21B5" w:rsidRPr="000B368D" w:rsidRDefault="003B21B5" w:rsidP="003B21B5">
      <w:pPr>
        <w:rPr>
          <w:bCs/>
          <w:color w:val="000000" w:themeColor="text1"/>
        </w:rPr>
      </w:pPr>
    </w:p>
    <w:p w:rsidR="003B21B5" w:rsidRPr="000B368D" w:rsidRDefault="003B21B5" w:rsidP="003B21B5">
      <w:pPr>
        <w:ind w:left="1200" w:right="1200"/>
        <w:jc w:val="center"/>
        <w:rPr>
          <w:bCs/>
          <w:color w:val="000000" w:themeColor="text1"/>
        </w:rPr>
      </w:pPr>
      <w:r w:rsidRPr="000B368D">
        <w:rPr>
          <w:bCs/>
          <w:color w:val="000000" w:themeColor="text1"/>
        </w:rPr>
        <w:t>August 27, 2009, Rendered</w:t>
      </w:r>
    </w:p>
    <w:p w:rsidR="003B21B5" w:rsidRDefault="003B21B5" w:rsidP="003B21B5">
      <w:pPr>
        <w:rPr>
          <w:bCs/>
          <w:color w:val="000000" w:themeColor="text1"/>
        </w:rPr>
      </w:pPr>
    </w:p>
    <w:p w:rsidR="003B21B5" w:rsidRDefault="003B21B5" w:rsidP="003B21B5">
      <w:pPr>
        <w:rPr>
          <w:b/>
          <w:bCs/>
        </w:rPr>
      </w:pPr>
    </w:p>
    <w:p w:rsidR="003B21B5" w:rsidRPr="000B368D" w:rsidRDefault="003B21B5" w:rsidP="003B21B5">
      <w:r w:rsidRPr="000B368D">
        <w:rPr>
          <w:bCs/>
        </w:rPr>
        <w:t xml:space="preserve">JUDGES: </w:t>
      </w:r>
      <w:r w:rsidRPr="000B368D">
        <w:t>OPINION OF THE COURT BY JUSTICE NOBLE. All sitting. All concur.</w:t>
      </w:r>
    </w:p>
    <w:p w:rsidR="003B21B5" w:rsidRPr="000B368D" w:rsidRDefault="003B21B5" w:rsidP="003B21B5"/>
    <w:p w:rsidR="003B21B5" w:rsidRPr="000B368D" w:rsidRDefault="003B21B5" w:rsidP="003B21B5">
      <w:pPr>
        <w:spacing w:before="120"/>
      </w:pPr>
      <w:r w:rsidRPr="000B368D">
        <w:t>Appellant Barbara Lucinda Sawyer appeals a decision affirming the circuit court's judgment notwithstanding the verdict ("JNOV") in favor of Appellee Melbourne Mills, Jr., in a dispute over the validity of an alleged oral agreement. Because the oral agreement violated the Statute of Frauds, lacked consideration, and could not have induced Sawyer's action, it was unenforceable, and the decision of the Court of Appeals is affirmed.</w:t>
      </w:r>
    </w:p>
    <w:p w:rsidR="003B21B5" w:rsidRPr="000B368D" w:rsidRDefault="003B21B5" w:rsidP="003B21B5"/>
    <w:p w:rsidR="003B21B5" w:rsidRPr="00E31467" w:rsidRDefault="003B21B5" w:rsidP="003B21B5">
      <w:pPr>
        <w:rPr>
          <w:b/>
        </w:rPr>
      </w:pPr>
      <w:r w:rsidRPr="00E31467">
        <w:rPr>
          <w:b/>
          <w:bCs/>
        </w:rPr>
        <w:t>I. Background</w:t>
      </w:r>
    </w:p>
    <w:p w:rsidR="003B21B5" w:rsidRDefault="003B21B5" w:rsidP="003B21B5">
      <w:pPr>
        <w:spacing w:before="120"/>
      </w:pPr>
      <w:r w:rsidRPr="000B368D">
        <w:t xml:space="preserve">Mills met Appellant </w:t>
      </w:r>
      <w:r>
        <w:t>Sawyer and her husband in 1991. In 1994, Sawyer requested that Mills become involved in already-pending class action litigation involving breast implants, and she solicited some women she knew as clients. Mills promised to give her a bonus if he ever had a big "payday" with one of his class actions, and she continued to research potential products liability claims. Between 1994 and 2001, she assisted Mills in marketing his law practice, researching potential class action lawsuits, and in performing work as a contract employee for relatively brief periods of time, for which she was paid. Her employment ended on March 31, 2002.</w:t>
      </w:r>
    </w:p>
    <w:p w:rsidR="003B21B5" w:rsidRDefault="003B21B5" w:rsidP="003B21B5">
      <w:pPr>
        <w:spacing w:before="120"/>
      </w:pPr>
      <w:r>
        <w:t>In 1997, the prescription drugs Fenfluramine and Phentermine (commonly known as "Fen-Phen") were receiving national media attention due to the possibility they were causing heart valve damage. Sawyer claims that she recommended Mills pursue a class action against Fen-Phen's manufacturer, and the drugs were recalled soon after Mills began to advertise for Fen-Phen clients. Mills received an overwhelming response from his advertising campaign and ultimately had about 2600 clients (about 400 of whom were from Kentucky) that he signed up on a contingency fee basis. Sawyer assisted with clerical work in processing the claims.</w:t>
      </w:r>
    </w:p>
    <w:p w:rsidR="003B21B5" w:rsidRDefault="003B21B5" w:rsidP="003B21B5">
      <w:pPr>
        <w:spacing w:before="120"/>
      </w:pPr>
      <w:r>
        <w:t xml:space="preserve">On May 1, 2001, a settlement for millions of dollars was reached between Fen-Phen's manufacturer and Mills's clients. After receiving his initial portion of the substantial attorney's fees on June 20, 2001, Mills made bonus payments to all of his employees. Six long-term employees received a $ 100,000 bonus, one paralegal who Mills thought was instrumental to the Fen-Phen litigation's success received more than a $ 1,000,000 bonus, and an attorney received an initial $ 1,000,000 bonus (and a more substantial additional bonus later). Hourly employees such as Sawyer received a bonus equal to two weeks' wages. Sawyer's bonus was $ 1,300. Over the years, Mills had mentioned to Sawyer that he would reward her with a large bonus when he hit a "payday" in the class action cases, and the Sawyers were disappointed in the $ 1,300 bonus. </w:t>
      </w:r>
    </w:p>
    <w:p w:rsidR="003B21B5" w:rsidRDefault="003B21B5" w:rsidP="003B21B5">
      <w:pPr>
        <w:spacing w:before="120"/>
      </w:pPr>
      <w:r>
        <w:t>On June 25, 2001, the Sawyers invited Mills to their art studio and secretly tape-recorded their conversation. Mills admitted that the voices on the recording were his and the Sawyers'. Sawyer and her husband suggested to Mills that he pay her a substantial bonus due to her encouragement of Mills to pursue class actions. After a lengthy discussion, the Sawyers suggested that Mills pay Sawyer a $ 1,065,000 bonus, consisting of $ 1,000,000 plus the value of a luxury car ($ 65,000), and Mills agreed. Mills discussed how and when the payments would be made.</w:t>
      </w:r>
    </w:p>
    <w:p w:rsidR="003B21B5" w:rsidRDefault="003B21B5" w:rsidP="003B21B5">
      <w:pPr>
        <w:spacing w:before="120"/>
      </w:pPr>
      <w:r>
        <w:t>Mills refused to make a lump sum payment even though he had the financial ability to do so; instead he agreed to make the payments in installments of $ 10,000 per month. They would also be hidden from his office employees (Sawyer claimed Mills did not wish to make the other employees jealous). Mills also agreed to pay for an attorney to draft a written agreement to memorialize their understanding, and he spoke to the Sawyers' attorney, Mark Moseley, on the phone and confirmed he had agreed to pay a bonus to Sawyer. However, Mills later refused to sign any written agreement.</w:t>
      </w:r>
    </w:p>
    <w:p w:rsidR="003B21B5" w:rsidRDefault="003B21B5" w:rsidP="003B21B5">
      <w:pPr>
        <w:spacing w:before="120"/>
      </w:pPr>
      <w:r>
        <w:t>Mills made his first payment of $ 10,000 to Sawyer the day of the meeting, and he eventually made a series of payments of $ 10,000 each, and one of $ 15,000, totaling $ 65,000. Mills also made a one-time payment of $ 100,000 on October, 3, 2001. The last payment was paid on February 7, 2002, and Mills informed Sawyer in March that he was terminating her employment at the end of the month. He had paid her a total amount of $ 165,000.</w:t>
      </w:r>
      <w:r w:rsidR="00024AE9">
        <w:t xml:space="preserve"> . . </w:t>
      </w:r>
      <w:r>
        <w:t>.</w:t>
      </w:r>
    </w:p>
    <w:p w:rsidR="003B21B5" w:rsidRDefault="003B21B5" w:rsidP="003B21B5">
      <w:pPr>
        <w:spacing w:before="120"/>
      </w:pPr>
      <w:r>
        <w:t>Prior to trial, Mills moved for summary judgment, arguing that enforcement of the agreement was barred by Kentucky's Statute of Frauds and raising lack of consideration as a defense. The trial court denied the motion.</w:t>
      </w:r>
    </w:p>
    <w:p w:rsidR="003B21B5" w:rsidRDefault="003B21B5" w:rsidP="004F1190">
      <w:pPr>
        <w:spacing w:before="120"/>
      </w:pPr>
      <w:r>
        <w:t xml:space="preserve">After a four-day trial, the jury returned a verdict for Sawyer and awarded her $ 900,000, and a trial verdict and judgment was entered. </w:t>
      </w:r>
      <w:r w:rsidR="00024AE9">
        <w:t xml:space="preserve"> . . .   </w:t>
      </w:r>
      <w:r>
        <w:t>Mills moved the trial court for a JNOV, and it was granted. The Court of Appeals affirmed.</w:t>
      </w:r>
    </w:p>
    <w:p w:rsidR="003B21B5" w:rsidRPr="00E31467" w:rsidRDefault="003B21B5" w:rsidP="003B21B5">
      <w:pPr>
        <w:rPr>
          <w:b/>
        </w:rPr>
      </w:pPr>
      <w:r w:rsidRPr="00E31467">
        <w:rPr>
          <w:b/>
          <w:bCs/>
        </w:rPr>
        <w:lastRenderedPageBreak/>
        <w:t>II. Analysis</w:t>
      </w:r>
    </w:p>
    <w:p w:rsidR="003B21B5" w:rsidRPr="00E31467" w:rsidRDefault="003B21B5" w:rsidP="003B21B5">
      <w:pPr>
        <w:rPr>
          <w:b/>
        </w:rPr>
      </w:pPr>
    </w:p>
    <w:p w:rsidR="003B21B5" w:rsidRPr="00E31467" w:rsidRDefault="003B21B5" w:rsidP="003B21B5">
      <w:pPr>
        <w:rPr>
          <w:b/>
        </w:rPr>
      </w:pPr>
      <w:r w:rsidRPr="00E31467">
        <w:rPr>
          <w:b/>
          <w:bCs/>
        </w:rPr>
        <w:t>A. The June 25, 2001 Oral Agreement</w:t>
      </w:r>
    </w:p>
    <w:p w:rsidR="003B21B5" w:rsidRPr="00E31467" w:rsidRDefault="003B21B5" w:rsidP="003B21B5">
      <w:pPr>
        <w:rPr>
          <w:b/>
        </w:rPr>
      </w:pPr>
    </w:p>
    <w:p w:rsidR="003B21B5" w:rsidRPr="00E31467" w:rsidRDefault="003B21B5" w:rsidP="003B21B5">
      <w:pPr>
        <w:rPr>
          <w:b/>
        </w:rPr>
      </w:pPr>
      <w:r w:rsidRPr="00E31467">
        <w:rPr>
          <w:b/>
          <w:bCs/>
        </w:rPr>
        <w:t>1. Application of the Statute of Frauds Where the Agreement's Terms and the Parties' Intentions Demonstrate It Could Not Be Completed Within One Year</w:t>
      </w:r>
    </w:p>
    <w:p w:rsidR="003B21B5" w:rsidRDefault="003B21B5" w:rsidP="003B21B5">
      <w:pPr>
        <w:spacing w:before="120"/>
      </w:pPr>
      <w:r>
        <w:t>Assuming there was a contract in this case, the Statute of Frauds applies and bars its enforcement. Kentucky's Statute of Frauds provides in pertinent part,</w:t>
      </w:r>
    </w:p>
    <w:p w:rsidR="003B21B5" w:rsidRDefault="003B21B5" w:rsidP="003B21B5"/>
    <w:p w:rsidR="003B21B5" w:rsidRDefault="003B21B5" w:rsidP="003B21B5">
      <w:pPr>
        <w:ind w:left="600" w:right="600"/>
      </w:pPr>
      <w:r>
        <w:rPr>
          <w:sz w:val="16"/>
          <w:szCs w:val="16"/>
        </w:rPr>
        <w:t>No action shall be brought to charge any person . . . [u]pon any agreement that is not to be performed within one year from the making thereof . . . unless the promise, contract, agreement, representation, assurance, or ratification, or some memorandum or note thereof, be in writing and signed by the party to be charged therewith, or by his authorized agent . . . .</w:t>
      </w:r>
    </w:p>
    <w:p w:rsidR="003B21B5" w:rsidRDefault="003B21B5" w:rsidP="003B21B5"/>
    <w:p w:rsidR="003B21B5" w:rsidRDefault="003B21B5" w:rsidP="003B21B5">
      <w:pPr>
        <w:spacing w:before="120"/>
      </w:pPr>
      <w:r>
        <w:t xml:space="preserve">The Statute of Frauds "refers to a contract which, by its terms, is not to be performed within a year, and which, from its stipulations, is not capable of being performed within a year." </w:t>
      </w:r>
      <w:r>
        <w:rPr>
          <w:i/>
          <w:iCs/>
        </w:rPr>
        <w:t>Nickell v. Johnson,</w:t>
      </w:r>
      <w:r>
        <w:t xml:space="preserve"> 162 Ky. 520 (1915). The appropriate inquiry thus is whether under the evidence of a particular case the parties contemplated that the contract at issue would be performed within a year, and if, by its terms, it could be. It is irrelevant whether performance would be possible under different terms. A contrary rule—that if it is possible to perform a contract within a year even though such completion is not contemplated by the parties—would eviscerate the Statute of Frauds' requirement that agreements not to be performed within one year be in writing.</w:t>
      </w:r>
    </w:p>
    <w:p w:rsidR="003B21B5" w:rsidRDefault="003B21B5" w:rsidP="003B21B5">
      <w:pPr>
        <w:spacing w:before="120"/>
      </w:pPr>
      <w:r>
        <w:t>Under well-settled precedent, this Court must determine whether Sawyer and Mills contemplated that their oral contract would be, or could be under its terms, performed within a year, even though Mills acknowledged that he could have paid the entire amount a</w:t>
      </w:r>
      <w:r w:rsidR="00024AE9">
        <w:t>t the time of the negotiations.</w:t>
      </w:r>
    </w:p>
    <w:p w:rsidR="004F1190" w:rsidRDefault="004F1190" w:rsidP="00024AE9"/>
    <w:p w:rsidR="003B21B5" w:rsidRDefault="003B21B5" w:rsidP="00024AE9">
      <w:r>
        <w:t>Based on the undisputed fact that Mills "clearly balked" at an agreement where he would have to make a one-million-dollar lump sum payment, such a payment was not a part of the oral agreement.</w:t>
      </w:r>
      <w:r w:rsidR="00024AE9">
        <w:t xml:space="preserve">  </w:t>
      </w:r>
      <w:r>
        <w:t xml:space="preserve">Instead, Mills orally agreed to make a $ 1,065,000 payment "over ten (10) years at Ten Thousand Dollars ($ 10,000.00) per month until paid." . . . </w:t>
      </w:r>
    </w:p>
    <w:p w:rsidR="003B21B5" w:rsidRDefault="003B21B5" w:rsidP="003B21B5">
      <w:pPr>
        <w:spacing w:before="120"/>
      </w:pPr>
      <w:r>
        <w:t>The trial court in this case was not clearly erroneous in finding that Mills never agreed to a lump sum payment payable within one year. Mills never signed a writing consistent with the oral discussions of the parties. The agreement's terms and the parties' intentions demonstrate this agreement could not be completed within one year, and thus the trial court was correct that as a matter of law the June 25 oral agreement between Sawyer and Mills failed the writing requirement of the Statute of Frauds, and was unenforceable under the statute. As the trial court observed, "[i]f the Statute of Frauds . . . does not apply to the undisputed testimony in the case at bar, it would be hard to imagine any case where it would apply."</w:t>
      </w:r>
    </w:p>
    <w:p w:rsidR="003B21B5" w:rsidRDefault="003B21B5" w:rsidP="003B21B5"/>
    <w:p w:rsidR="003B21B5" w:rsidRDefault="003B21B5" w:rsidP="003B21B5">
      <w:r>
        <w:rPr>
          <w:b/>
          <w:bCs/>
        </w:rPr>
        <w:t>2. Completed Performance and Past Consideration</w:t>
      </w:r>
    </w:p>
    <w:p w:rsidR="003B21B5" w:rsidRDefault="003B21B5" w:rsidP="003B21B5">
      <w:pPr>
        <w:spacing w:before="120"/>
      </w:pPr>
      <w:r>
        <w:t>Sawyer claims the agreement is nonetheless enforceable because she completed her performance, taking the agreement outside the operation of the Statute of Frauds, as a completed executory contract. However, because Sawyer concedes she had completed her performance prior to the June 25, 2001 oral agreement, it was supported only by past performance, which is no consideration at all, and thus, under this argument, there was not a binding contract. . . .</w:t>
      </w:r>
    </w:p>
    <w:p w:rsidR="003B21B5" w:rsidRDefault="003B21B5" w:rsidP="003B21B5">
      <w:pPr>
        <w:spacing w:before="120"/>
      </w:pPr>
      <w:r>
        <w:t xml:space="preserve">Though Sawyer also contends that she continued to work for Mills after the agreement regarding her prior performance was made on June 25, she did in fact receive other multiple substantial payments from Mills after the agreement for that work. It therefore cannot also be used as the consideration going forward from the June 25th agreement. . . </w:t>
      </w:r>
    </w:p>
    <w:p w:rsidR="003B21B5" w:rsidRDefault="003B21B5" w:rsidP="003B21B5">
      <w:pPr>
        <w:spacing w:before="120"/>
      </w:pPr>
      <w:r>
        <w:t>Consequently, the JNOV granted by the circuit court was appropriate.</w:t>
      </w:r>
    </w:p>
    <w:p w:rsidR="003B21B5" w:rsidRDefault="003B21B5" w:rsidP="003B21B5"/>
    <w:p w:rsidR="003B21B5" w:rsidRPr="00E31467" w:rsidRDefault="003B21B5" w:rsidP="003B21B5">
      <w:pPr>
        <w:rPr>
          <w:b/>
        </w:rPr>
      </w:pPr>
      <w:r w:rsidRPr="00E31467">
        <w:rPr>
          <w:b/>
          <w:bCs/>
        </w:rPr>
        <w:t>3. The Audio Tape Recording of the Parties' Conversation and Cancelled Signed Checks as a Basis for Satisfying the Statute of Frauds' Writing Requirement</w:t>
      </w:r>
    </w:p>
    <w:p w:rsidR="003B21B5" w:rsidRDefault="003B21B5" w:rsidP="003B21B5">
      <w:pPr>
        <w:spacing w:before="120"/>
      </w:pPr>
      <w:r>
        <w:t>Sawyer also claims that the audio tape of Mills's voice and cancelled signed checks provide the basis for satisfying the Statute of Frauds' writing requirement under the federal Electronic Signatures in Global and National Commerce Act.</w:t>
      </w:r>
    </w:p>
    <w:p w:rsidR="003B21B5" w:rsidRDefault="003B21B5" w:rsidP="003B21B5">
      <w:pPr>
        <w:spacing w:before="120"/>
      </w:pPr>
      <w:r>
        <w:t>She first claims that the Statute of Frauds' writing requirement is preempted by 15 U.S.C. § 7001(a), which provides,</w:t>
      </w:r>
    </w:p>
    <w:p w:rsidR="003B21B5" w:rsidRDefault="003B21B5" w:rsidP="003B21B5"/>
    <w:p w:rsidR="003B21B5" w:rsidRDefault="003B21B5" w:rsidP="00B2077C">
      <w:pPr>
        <w:ind w:left="600" w:right="600"/>
        <w:rPr>
          <w:sz w:val="16"/>
          <w:szCs w:val="16"/>
        </w:rPr>
      </w:pPr>
      <w:r>
        <w:rPr>
          <w:sz w:val="16"/>
          <w:szCs w:val="16"/>
        </w:rPr>
        <w:t>Notwithstanding any statute, regulation, or other rule of law . . . with respect to any transaction in or affecting interstate or foreign commerce--</w:t>
      </w:r>
    </w:p>
    <w:p w:rsidR="00B2077C" w:rsidRDefault="00B2077C" w:rsidP="00B2077C">
      <w:pPr>
        <w:ind w:left="600" w:right="600"/>
        <w:rPr>
          <w:sz w:val="16"/>
          <w:szCs w:val="16"/>
        </w:rPr>
      </w:pPr>
    </w:p>
    <w:p w:rsidR="003B21B5" w:rsidRDefault="003B21B5" w:rsidP="003B21B5">
      <w:pPr>
        <w:ind w:left="1200" w:right="1200"/>
        <w:rPr>
          <w:sz w:val="16"/>
          <w:szCs w:val="16"/>
        </w:rPr>
      </w:pPr>
      <w:r>
        <w:rPr>
          <w:sz w:val="16"/>
          <w:szCs w:val="16"/>
        </w:rPr>
        <w:t>(1) a signature, contract, or other record relating to such transaction may not be denied legal effect, validity, or enforceability solely because it is in electronic form; and</w:t>
      </w:r>
    </w:p>
    <w:p w:rsidR="003B21B5" w:rsidRDefault="003B21B5" w:rsidP="003B21B5">
      <w:pPr>
        <w:spacing w:before="120"/>
        <w:ind w:left="1200" w:right="1200"/>
        <w:rPr>
          <w:sz w:val="16"/>
          <w:szCs w:val="16"/>
        </w:rPr>
      </w:pPr>
      <w:r>
        <w:rPr>
          <w:sz w:val="16"/>
          <w:szCs w:val="16"/>
        </w:rPr>
        <w:lastRenderedPageBreak/>
        <w:t>(2) a contract relating to such transaction may not be denied legal effect, validity, or enforceability solely because an electronic signature or electronic record was used in its formation.</w:t>
      </w:r>
    </w:p>
    <w:p w:rsidR="003B21B5" w:rsidRDefault="003B21B5" w:rsidP="003B21B5">
      <w:pPr>
        <w:rPr>
          <w:sz w:val="16"/>
          <w:szCs w:val="16"/>
        </w:rPr>
      </w:pPr>
    </w:p>
    <w:p w:rsidR="003B21B5" w:rsidRDefault="003B21B5" w:rsidP="003B21B5">
      <w:r>
        <w:t xml:space="preserve">However, under 15 U.S.C. § 7001(a)(1), the oral agreement is not being denied "legal effect, validity, or enforceability </w:t>
      </w:r>
      <w:r>
        <w:rPr>
          <w:i/>
          <w:iCs/>
        </w:rPr>
        <w:t>solely</w:t>
      </w:r>
      <w:r>
        <w:t xml:space="preserve"> because it is in electronic form." The oral agreement is being denied legal effect because it fails the writing requirement of the Statute of Frauds. . . </w:t>
      </w:r>
    </w:p>
    <w:p w:rsidR="003B21B5" w:rsidRDefault="003B21B5" w:rsidP="003B21B5">
      <w:pPr>
        <w:spacing w:before="120"/>
      </w:pPr>
      <w:r>
        <w:t xml:space="preserve">There must be intent to attach or logically associate the electronic signature to the agreement, that is, an intent to execute the contract. That was impossible here, because the medium on which the alleged agreement and electronic signature were recorded (the audio tape) was used surreptitiously. Mills did not know he was being recorded when he went to the Sawyers' art studio. . . . The statute contemplates more than a mere verbal assent recorded in secret; it requires the electronic equivalent of a signature, that is, an electronic sound, symbol, or process solemnizing the agreement and evidencing an intent to enter into it. . . . </w:t>
      </w:r>
    </w:p>
    <w:p w:rsidR="003B21B5" w:rsidRDefault="003B21B5" w:rsidP="003B21B5"/>
    <w:p w:rsidR="003B21B5" w:rsidRPr="00A73473" w:rsidRDefault="003B21B5" w:rsidP="003B21B5">
      <w:pPr>
        <w:rPr>
          <w:b/>
        </w:rPr>
      </w:pPr>
      <w:r w:rsidRPr="00A73473">
        <w:rPr>
          <w:b/>
          <w:bCs/>
        </w:rPr>
        <w:t>4. Promissory Estoppel</w:t>
      </w:r>
    </w:p>
    <w:p w:rsidR="003B21B5" w:rsidRDefault="003B21B5" w:rsidP="003B21B5">
      <w:pPr>
        <w:spacing w:before="120"/>
      </w:pPr>
      <w:r w:rsidRPr="00E31467">
        <w:t>Despite the parties' dispu</w:t>
      </w:r>
      <w:r>
        <w:t>te over whether the issue of promissory estoppel was properly preserved and appealed, it is clear that the trial court was correct in concluding there was insufficient proof to support a jury instruction on the issue.</w:t>
      </w:r>
    </w:p>
    <w:p w:rsidR="003B21B5" w:rsidRDefault="003B21B5" w:rsidP="003B21B5">
      <w:pPr>
        <w:spacing w:before="120"/>
      </w:pPr>
      <w:r>
        <w:t>The doctrine of promissory estoppel provides as follows:</w:t>
      </w:r>
    </w:p>
    <w:p w:rsidR="003B21B5" w:rsidRDefault="003B21B5" w:rsidP="003B21B5"/>
    <w:p w:rsidR="003B21B5" w:rsidRDefault="003B21B5" w:rsidP="003B21B5">
      <w:pPr>
        <w:ind w:left="600" w:right="600"/>
      </w:pPr>
      <w:r>
        <w:rPr>
          <w:sz w:val="16"/>
          <w:szCs w:val="16"/>
        </w:rPr>
        <w:t>"A promise which the promisor should reasonably expect to induce action or forbearance on the part of the promisee or a third person and which does induce such action or forbearance is binding if injustice can be avoided only by enforcement of the promise. The remedy granted for breach may be limited as justice requires."</w:t>
      </w:r>
    </w:p>
    <w:p w:rsidR="003B21B5" w:rsidRDefault="003B21B5" w:rsidP="003B21B5">
      <w:pPr>
        <w:spacing w:before="120"/>
      </w:pPr>
      <w:r>
        <w:t xml:space="preserve">First, it is not clear that under Kentucky law promissory estoppel can defeat the Statute of Frauds. . . But even assuming that promissory estoppel could allow a plaintiff to get around the Statute of Frauds, Sawyer cannot invoke the doctrine in this case. First, promissory estoppel requires "[a] promise which the promisor should reasonably expect to induce action or forbearance on the part of the promisee . . . and which does induce such action or forbearance . . . ." </w:t>
      </w:r>
      <w:r>
        <w:rPr>
          <w:i/>
          <w:iCs/>
        </w:rPr>
        <w:t>Meade Constr. Co.,</w:t>
      </w:r>
      <w:r>
        <w:t xml:space="preserve"> 579 S.W.2d at 106.  Sawyer argues in this regard that she agreed to continue working for Mills at his request after the agreement and bypassed other job opportunities, in reliance upon his promise.</w:t>
      </w:r>
    </w:p>
    <w:p w:rsidR="003B21B5" w:rsidRDefault="003B21B5" w:rsidP="003B21B5">
      <w:pPr>
        <w:spacing w:before="120"/>
      </w:pPr>
      <w:r>
        <w:t xml:space="preserve">But there is no reasonable basis to argue that Mills believed Sawyer continued working for him from June 25, 2001 through March 2003 because of his promise. During that time, he paid her $ 165,000 in line with his promise, and </w:t>
      </w:r>
      <w:r>
        <w:rPr>
          <w:i/>
          <w:iCs/>
        </w:rPr>
        <w:t>paid her as an hourly employee</w:t>
      </w:r>
      <w:r>
        <w:t xml:space="preserve"> until he released her from employment. At no time has the testimony indicated that his promise to her on June 25 was premised on her continued employment with him. . . . Sawyer does not make a supportable promissory estoppel claim.</w:t>
      </w:r>
    </w:p>
    <w:p w:rsidR="003B21B5" w:rsidRDefault="003B21B5" w:rsidP="003B21B5"/>
    <w:p w:rsidR="00912ED9" w:rsidRDefault="00912ED9" w:rsidP="003B21B5">
      <w:pPr>
        <w:rPr>
          <w:b/>
          <w:bCs/>
        </w:rPr>
      </w:pPr>
    </w:p>
    <w:p w:rsidR="003B21B5" w:rsidRPr="00A73473" w:rsidRDefault="003B21B5" w:rsidP="003B21B5">
      <w:pPr>
        <w:rPr>
          <w:b/>
        </w:rPr>
      </w:pPr>
      <w:r w:rsidRPr="00A73473">
        <w:rPr>
          <w:b/>
          <w:bCs/>
        </w:rPr>
        <w:t>III. Conclusion</w:t>
      </w:r>
    </w:p>
    <w:p w:rsidR="003B21B5" w:rsidRDefault="003B21B5" w:rsidP="003B21B5">
      <w:pPr>
        <w:spacing w:before="120"/>
      </w:pPr>
      <w:r>
        <w:t>Because the terms of the agreement and the parties' intentions demonstrate it could not be completed within one year, the Statute of Frauds required that it be in writing, but that was never done. Additionally, since Sawyer concedes she completed performance before the June 25, 2001 conversation, the agreement lacked valid consideration and could not be a binding contract. The audio tape recording and cancelled signed checks do not serve as a basis for satisfying the Statute of Frauds' writing requirement in this case. Finally, Sawyer does not have a claim for promissory estoppel because the record does not substantiate her claim that she relied on Mills's promise by way of a forbearance or action, and Mills could not have reasonably been expected to believe that she had. The JNOV entered by the trial court was appropriate.</w:t>
      </w:r>
    </w:p>
    <w:p w:rsidR="00B2077C" w:rsidRDefault="003B21B5" w:rsidP="003B21B5">
      <w:pPr>
        <w:spacing w:before="120"/>
      </w:pPr>
      <w:r>
        <w:t>For the foregoing reasons, the Court of Appeals is affirmed.</w:t>
      </w:r>
    </w:p>
    <w:p w:rsidR="003B21B5" w:rsidRDefault="003B21B5" w:rsidP="00B2077C">
      <w:pPr>
        <w:spacing w:before="120"/>
        <w:rPr>
          <w:bCs/>
        </w:rPr>
      </w:pPr>
      <w:r>
        <w:t>All sitting. All concur.</w:t>
      </w:r>
      <w:r>
        <w:rPr>
          <w:bCs/>
        </w:rPr>
        <w:br w:type="page"/>
      </w:r>
    </w:p>
    <w:p w:rsidR="00032A5B" w:rsidRPr="00E1531D" w:rsidRDefault="00032A5B" w:rsidP="00032A5B">
      <w:pPr>
        <w:ind w:left="1200" w:right="1200"/>
        <w:jc w:val="center"/>
        <w:rPr>
          <w:bCs/>
        </w:rPr>
      </w:pPr>
      <w:r w:rsidRPr="00E1531D">
        <w:rPr>
          <w:bCs/>
        </w:rPr>
        <w:lastRenderedPageBreak/>
        <w:t>SHIRLEY MacLAINE PARKER, Plaintiff and Respondent, v. TWENTIETH CENTURY-FOX FILM CORPORATION, Defendant and Appellant</w:t>
      </w:r>
    </w:p>
    <w:p w:rsidR="00032A5B" w:rsidRPr="00E1531D" w:rsidRDefault="00032A5B" w:rsidP="00032A5B">
      <w:pPr>
        <w:rPr>
          <w:bCs/>
        </w:rPr>
      </w:pPr>
    </w:p>
    <w:p w:rsidR="00032A5B" w:rsidRPr="00E1531D" w:rsidRDefault="00032A5B" w:rsidP="00032A5B">
      <w:pPr>
        <w:ind w:left="1200" w:right="1200"/>
        <w:jc w:val="center"/>
        <w:rPr>
          <w:bCs/>
        </w:rPr>
      </w:pPr>
      <w:r w:rsidRPr="00E1531D">
        <w:rPr>
          <w:bCs/>
        </w:rPr>
        <w:t xml:space="preserve">Supreme Court of </w:t>
      </w:r>
      <w:smartTag w:uri="urn:schemas-microsoft-com:office:smarttags" w:element="place">
        <w:smartTag w:uri="urn:schemas-microsoft-com:office:smarttags" w:element="State">
          <w:r w:rsidRPr="00E1531D">
            <w:rPr>
              <w:bCs/>
            </w:rPr>
            <w:t>California</w:t>
          </w:r>
        </w:smartTag>
      </w:smartTag>
    </w:p>
    <w:p w:rsidR="00032A5B" w:rsidRPr="00E1531D" w:rsidRDefault="00032A5B" w:rsidP="00032A5B">
      <w:pPr>
        <w:rPr>
          <w:bCs/>
        </w:rPr>
      </w:pPr>
    </w:p>
    <w:p w:rsidR="00032A5B" w:rsidRPr="00E1531D" w:rsidRDefault="00032A5B" w:rsidP="00032A5B">
      <w:pPr>
        <w:ind w:left="1200" w:right="1200"/>
        <w:jc w:val="center"/>
        <w:rPr>
          <w:bCs/>
        </w:rPr>
      </w:pPr>
      <w:r w:rsidRPr="00E1531D">
        <w:rPr>
          <w:bCs/>
        </w:rPr>
        <w:t xml:space="preserve">3 </w:t>
      </w:r>
      <w:smartTag w:uri="urn:schemas-microsoft-com:office:smarttags" w:element="place">
        <w:smartTag w:uri="urn:schemas-microsoft-com:office:smarttags" w:element="State">
          <w:r w:rsidRPr="00E1531D">
            <w:rPr>
              <w:bCs/>
            </w:rPr>
            <w:t>Cal.</w:t>
          </w:r>
        </w:smartTag>
      </w:smartTag>
      <w:r w:rsidRPr="00E1531D">
        <w:rPr>
          <w:bCs/>
        </w:rPr>
        <w:t xml:space="preserve"> 3d 176</w:t>
      </w:r>
    </w:p>
    <w:p w:rsidR="00032A5B" w:rsidRDefault="00032A5B" w:rsidP="00032A5B">
      <w:pPr>
        <w:ind w:left="1200" w:right="1200"/>
        <w:jc w:val="center"/>
        <w:rPr>
          <w:bCs/>
        </w:rPr>
      </w:pPr>
    </w:p>
    <w:p w:rsidR="00032A5B" w:rsidRPr="00E1531D" w:rsidRDefault="00032A5B" w:rsidP="00032A5B">
      <w:pPr>
        <w:ind w:left="1200" w:right="1200"/>
        <w:jc w:val="center"/>
        <w:rPr>
          <w:bCs/>
        </w:rPr>
      </w:pPr>
      <w:smartTag w:uri="urn:schemas-microsoft-com:office:smarttags" w:element="date">
        <w:smartTagPr>
          <w:attr w:name="Year" w:val="1970"/>
          <w:attr w:name="Day" w:val="30"/>
          <w:attr w:name="Month" w:val="9"/>
          <w:attr w:name="ls" w:val="trans"/>
        </w:smartTagPr>
        <w:r w:rsidRPr="00E1531D">
          <w:rPr>
            <w:bCs/>
          </w:rPr>
          <w:t>September 30, 1970</w:t>
        </w:r>
      </w:smartTag>
      <w:r w:rsidRPr="00E1531D">
        <w:rPr>
          <w:bCs/>
        </w:rPr>
        <w:t xml:space="preserve"> </w:t>
      </w:r>
    </w:p>
    <w:p w:rsidR="00032A5B" w:rsidRDefault="00032A5B" w:rsidP="00032A5B">
      <w:pPr>
        <w:rPr>
          <w:bCs/>
        </w:rPr>
      </w:pPr>
    </w:p>
    <w:p w:rsidR="00032A5B" w:rsidRPr="00E1531D" w:rsidRDefault="00032A5B" w:rsidP="00032A5B">
      <w:pPr>
        <w:rPr>
          <w:bCs/>
        </w:rPr>
      </w:pPr>
    </w:p>
    <w:p w:rsidR="00032A5B" w:rsidRPr="00E1531D" w:rsidRDefault="00032A5B" w:rsidP="00032A5B">
      <w:r w:rsidRPr="00E1531D">
        <w:rPr>
          <w:bCs/>
        </w:rPr>
        <w:t xml:space="preserve">JUDGES: </w:t>
      </w:r>
      <w:r w:rsidRPr="00E1531D">
        <w:t xml:space="preserve">In Bank. </w:t>
      </w:r>
      <w:r>
        <w:t xml:space="preserve">   </w:t>
      </w:r>
      <w:r w:rsidRPr="00E1531D">
        <w:t>Opinion by Burke, J., with McComb, Peters and Tobrine</w:t>
      </w:r>
      <w:r>
        <w:t>r, JJ., and Kaus and Roth, JJ.,</w:t>
      </w:r>
      <w:r w:rsidRPr="00E1531D">
        <w:t xml:space="preserve"> concurring.  </w:t>
      </w:r>
      <w:r>
        <w:t>D</w:t>
      </w:r>
      <w:r w:rsidRPr="00E1531D">
        <w:t>issent by Sullivan, Acting C. J.</w:t>
      </w:r>
    </w:p>
    <w:p w:rsidR="00032A5B" w:rsidRPr="00E1531D" w:rsidRDefault="00032A5B" w:rsidP="00032A5B"/>
    <w:p w:rsidR="00032A5B" w:rsidRDefault="00032A5B" w:rsidP="00032A5B">
      <w:pPr>
        <w:spacing w:before="120"/>
      </w:pPr>
      <w:r>
        <w:t>Defendant Twentieth Century-Fox Film Corporation appeals from a summary judgment granting to plaintiff the recovery of agreed compensation under a written contract for her services as an actress in a motion picture. As will appear, we have concluded that the trial court correctly ruled in plaintiff's favor and that the judgment should be affirmed.</w:t>
      </w:r>
    </w:p>
    <w:p w:rsidR="00032A5B" w:rsidRDefault="00032A5B" w:rsidP="00032A5B">
      <w:pPr>
        <w:spacing w:before="120"/>
      </w:pPr>
      <w:r>
        <w:t xml:space="preserve">Plaintiff is well known as an actress, and in the contract between plaintiff and defendant is sometimes referred to as the "Artist." Under the contract, dated </w:t>
      </w:r>
      <w:smartTag w:uri="urn:schemas-microsoft-com:office:smarttags" w:element="date">
        <w:smartTagPr>
          <w:attr w:name="Month" w:val="8"/>
          <w:attr w:name="Day" w:val="6"/>
          <w:attr w:name="Year" w:val="1965"/>
        </w:smartTagPr>
        <w:smartTag w:uri="urn:schemas-microsoft-com:office:smarttags" w:element="date">
          <w:smartTagPr>
            <w:attr w:name="Year" w:val="19"/>
            <w:attr w:name="Day" w:val="6"/>
            <w:attr w:name="Month" w:val="8"/>
            <w:attr w:name="ls" w:val="trans"/>
          </w:smartTagPr>
          <w:r>
            <w:t>August 6, 19</w:t>
          </w:r>
        </w:smartTag>
        <w:r>
          <w:t>65</w:t>
        </w:r>
      </w:smartTag>
      <w:r>
        <w:t xml:space="preserve">, plaintiff was to play the female lead in defendant's contemplated production of a motion picture entitled "Bloomer Girl." The contract provided that defendant would pay plaintiff a minimum "guaranteed compensation" of $53,571 per week for 14 weeks commencing </w:t>
      </w:r>
      <w:smartTag w:uri="urn:schemas-microsoft-com:office:smarttags" w:element="date">
        <w:smartTagPr>
          <w:attr w:name="Year" w:val="19"/>
          <w:attr w:name="Day" w:val="23"/>
          <w:attr w:name="Month" w:val="5"/>
          <w:attr w:name="ls" w:val="trans"/>
        </w:smartTagPr>
        <w:r>
          <w:t>May 23, 19</w:t>
        </w:r>
      </w:smartTag>
      <w:r>
        <w:t xml:space="preserve">66, for a total of $750,000.  Prior to May 1966 defendant decided not to produce the picture and by a letter dated </w:t>
      </w:r>
      <w:smartTag w:uri="urn:schemas-microsoft-com:office:smarttags" w:element="date">
        <w:smartTagPr>
          <w:attr w:name="Month" w:val="4"/>
          <w:attr w:name="Day" w:val="4"/>
          <w:attr w:name="Year" w:val="1966"/>
        </w:smartTagPr>
        <w:smartTag w:uri="urn:schemas-microsoft-com:office:smarttags" w:element="date">
          <w:smartTagPr>
            <w:attr w:name="Year" w:val="19"/>
            <w:attr w:name="Day" w:val="4"/>
            <w:attr w:name="Month" w:val="4"/>
            <w:attr w:name="ls" w:val="trans"/>
          </w:smartTagPr>
          <w:r>
            <w:t>April 4, 19</w:t>
          </w:r>
        </w:smartTag>
        <w:r>
          <w:t>66</w:t>
        </w:r>
      </w:smartTag>
      <w:r>
        <w:t>, it notified plaintiff of that decision and that it would not "comply with our obligations to you under" the written contract.</w:t>
      </w:r>
    </w:p>
    <w:p w:rsidR="00032A5B" w:rsidRDefault="00032A5B" w:rsidP="00032A5B">
      <w:pPr>
        <w:spacing w:before="120"/>
      </w:pPr>
      <w:r>
        <w:t xml:space="preserve">By the same letter and with the professed purpose "to avoid any damage to you," defendant instead offered to employ   plaintiff as the leading actress in another film tentatively entitled "Big Country, Big Man" (hereinafter, "Big Country").  The compensation offered was identical, as were 31 of  the 34 numbered provisions or articles of the original contract. Unlike "Bloomer Girl," however, which was to have been a musical production, "Big Country" was a dramatic "western type" movie.  "Bloomer Girl" was to have been filmed in </w:t>
      </w:r>
      <w:smartTag w:uri="urn:schemas-microsoft-com:office:smarttags" w:element="State">
        <w:r>
          <w:t>California</w:t>
        </w:r>
      </w:smartTag>
      <w:r>
        <w:t xml:space="preserve">; "Big Country" was to be produced in </w:t>
      </w:r>
      <w:smartTag w:uri="urn:schemas-microsoft-com:office:smarttags" w:element="place">
        <w:smartTag w:uri="urn:schemas-microsoft-com:office:smarttags" w:element="country-region">
          <w:r>
            <w:t>Australia</w:t>
          </w:r>
        </w:smartTag>
      </w:smartTag>
      <w:r>
        <w:t>.  Also,  certain terms in the proffered contract varied from those of the original.  Plaintiff was given one week within which to accept; she did not and the offer lapsed.  Plaintiff then commenced this action seeking recovery of the agreed guaranteed compensation.</w:t>
      </w:r>
    </w:p>
    <w:p w:rsidR="00032A5B" w:rsidRDefault="00032A5B" w:rsidP="00032A5B">
      <w:pPr>
        <w:spacing w:before="120"/>
      </w:pPr>
      <w:r>
        <w:t>The complaint sets forth two causes of action.  The first is for money due under the contract; the second, based upon the same allegations as the first, is for damages resulting from defendant's breach of contract.  Defendant in its answer admits the existence and validity of the contract, that plaintiff complied with all the conditions, covenants and promises and stood ready to complete the performance, and that defendant breached and "anticipatorily repudiated" the contract.  It denies, however, that any money is due to plaintiff either under the contract or as a result of its breach, and pleads as an affirmative defense to both causes of action plaintiff's allegedly deliberate failure to mitigate damages, asserting that she unreasonably refused to accept its offer of the leading role in "Big Country."</w:t>
      </w:r>
    </w:p>
    <w:p w:rsidR="00032A5B" w:rsidRDefault="00032A5B" w:rsidP="00032A5B">
      <w:pPr>
        <w:spacing w:before="120"/>
      </w:pPr>
      <w:r>
        <w:t xml:space="preserve">Plaintiff moved for summary judgment, the motion was granted, and summary judgment for $750,000 plus interest was entered in plaintiff's favor.  This appeal by defendant followed. . . . </w:t>
      </w:r>
    </w:p>
    <w:p w:rsidR="00032A5B" w:rsidRDefault="00032A5B" w:rsidP="00032A5B">
      <w:pPr>
        <w:spacing w:before="120"/>
      </w:pPr>
      <w:r>
        <w:t>As stated, defendant's sole defense to this action which resulted from its deliberate breach of contract is that in rejecting defendant's substitute offer of employment plaintiff unreasonably refused to mitigate damages.</w:t>
      </w:r>
    </w:p>
    <w:p w:rsidR="00032A5B" w:rsidRDefault="00032A5B" w:rsidP="00032A5B">
      <w:pPr>
        <w:spacing w:before="120"/>
      </w:pPr>
      <w:r>
        <w:t xml:space="preserve">The general rule is that the measure of recovery by a wrongfully discharged employee is the amount of salary agreed upon for the period of service, less the amount which the employer affirmatively proves the employee has earned or with reasonable effort might have earned from other employment.  However, before projected earnings from other employment opportunities not sought or accepted by the discharged employee can be applied in mitigation, the employer must show that the other employment was comparable, or substantially similar, to that of which the employee has been deprived; the employee's rejection of or failure to seek other available employment of a different or inferior kind may not be resorted to in order to mitigate damages. </w:t>
      </w:r>
    </w:p>
    <w:p w:rsidR="00032A5B" w:rsidRDefault="00032A5B" w:rsidP="00032A5B">
      <w:pPr>
        <w:spacing w:before="120"/>
      </w:pPr>
      <w:r>
        <w:t xml:space="preserve">In the present case defendant has raised no issue of </w:t>
      </w:r>
      <w:r>
        <w:rPr>
          <w:i/>
          <w:iCs/>
        </w:rPr>
        <w:t>reasonableness of efforts</w:t>
      </w:r>
      <w:r>
        <w:t xml:space="preserve"> by plaintiffs to obtain other employment; the sole issue is whether plaintiff's refusal of defendant's substitute offer of "Big Country" may be used in mitigation. Nor, if the "Big Country" offer was of employment different or inferior when compared with the original "Bloomer Girl" employment, is there an issue as to whether or not plaintiff acted reasonably in refusing the substitute offer.  Despite defendant's arguments to the contrary, no case cited or which our research has discovered holds or suggests that </w:t>
      </w:r>
      <w:r>
        <w:lastRenderedPageBreak/>
        <w:t xml:space="preserve">reasonableness is an element of a wrongfully discharged employee's option to reject, or fail to seek, different or inferior employment lest the possible earnings therefrom be charged against him in mitigation of damages. </w:t>
      </w:r>
    </w:p>
    <w:p w:rsidR="00032A5B" w:rsidRDefault="00032A5B" w:rsidP="00032A5B">
      <w:pPr>
        <w:spacing w:before="120"/>
      </w:pPr>
      <w:r>
        <w:t>Applying the foregoing rules to the record in the present case, with all intendments in favor of the party opposing the summary judgment motion — here, defendant — it is clear that the trial court correctly ruled that plaintiff's failure to accept defendant's tendered substitute employment could not be applied in mitigation of damages because the offer of the "Big Country" lead was of employment both different and inferior, and that no factual dispute was presented on that issue.  The mere circumstance that "Bloomer Girl" was to be a musical review calling upon plaintiff's talents as a dancer as well as an actress, and was to be produced in the City of Los Angeles, whereas "Big Country" was a straight dramatic role in a "Western Type" story taking place in an opal mine in Australia, demonstrates the difference in kind between the two employments; the female lead as a dramatic actress in a western style motion picture can by no stretch of imagination be considered the equivalent of or substantially similar to the lead in a song-and-dance production.</w:t>
      </w:r>
    </w:p>
    <w:p w:rsidR="00032A5B" w:rsidRDefault="00032A5B" w:rsidP="00032A5B">
      <w:pPr>
        <w:spacing w:before="120"/>
      </w:pPr>
      <w:r>
        <w:t xml:space="preserve"> Additionally, the substitute "Big Country" offer proposed to eliminate or impair the director and screenplay approvals accorded to plaintiff under the original "Bloomer Girl" contract, and thus constituted an offer of inferior employment.  No expertise or judicial notice is required in order to hold that the deprivation or infringement of an employee's rights held under an original employment contract converts the available "other employment" relied upon by the employer to mitigate damages, into inferior employment which the employee need not seek or accept. </w:t>
      </w:r>
    </w:p>
    <w:p w:rsidR="00032A5B" w:rsidRDefault="00032A5B" w:rsidP="00032A5B">
      <w:pPr>
        <w:spacing w:before="120"/>
      </w:pPr>
      <w:r>
        <w:t>In view of the determination that defendant failed to present any facts showing the existence of a factual issue with respect to its sole defense — plaintiff's rejection of its substitute employment offer in mitigation of damages — we need not consider plaintiff's further contention that for various reasons plaintiff was excused from attempting to mitigate damages.</w:t>
      </w:r>
    </w:p>
    <w:p w:rsidR="00032A5B" w:rsidRDefault="00032A5B" w:rsidP="00032A5B">
      <w:pPr>
        <w:spacing w:before="120"/>
      </w:pPr>
      <w:r>
        <w:t>The judgment is affirmed.</w:t>
      </w:r>
    </w:p>
    <w:p w:rsidR="00032A5B" w:rsidRDefault="00032A5B" w:rsidP="00032A5B">
      <w:pPr>
        <w:spacing w:before="120"/>
      </w:pPr>
    </w:p>
    <w:p w:rsidR="00032A5B" w:rsidRDefault="00032A5B" w:rsidP="00032A5B"/>
    <w:p w:rsidR="00032A5B" w:rsidRDefault="00032A5B" w:rsidP="00032A5B">
      <w:pPr>
        <w:rPr>
          <w:bCs/>
        </w:rPr>
      </w:pPr>
      <w:r w:rsidRPr="00E1531D">
        <w:rPr>
          <w:bCs/>
        </w:rPr>
        <w:t>DISSENT BY:  SULLIVAN, Acting C. J.</w:t>
      </w:r>
    </w:p>
    <w:p w:rsidR="00032A5B" w:rsidRDefault="00032A5B" w:rsidP="00032A5B">
      <w:pPr>
        <w:rPr>
          <w:bCs/>
        </w:rPr>
      </w:pPr>
    </w:p>
    <w:p w:rsidR="00032A5B" w:rsidRDefault="00032A5B" w:rsidP="00032A5B">
      <w:r>
        <w:t>The basic question in this case is whether or not plaintiff acted reasonably in rejecting defendant's offer of alternate employment.  The answer depends upon whether that offer (starring in "Big Country, Big Man") was an offer of work that was substantially similar to her former employment (starring in "Bloomer Girl" ) or of work that was of a different or inferior kind.  To my mind this is a factual issue which the trial court should not have determined on a motion for summary judgment.  The majority have not only repeated this error but have compounded it by applying the rules governing mitigation of damages in the employer-employee context in a misleading fashion.  Accordingly, I respectfully dissent.</w:t>
      </w:r>
    </w:p>
    <w:p w:rsidR="00032A5B" w:rsidRDefault="00032A5B" w:rsidP="00032A5B">
      <w:pPr>
        <w:spacing w:before="120"/>
      </w:pPr>
      <w:r>
        <w:t>The familiar rule requiring a plaintiff in a tort or contract action to mitigate damages embodies notions of fairness and socially responsible behavior which are fundamental to our jurisprudence.  Most broadly stated, it precludes the recovery of damages which, through the exercise of due diligence, could have been avoided.  Thus, in essence, it is a rule requiring reasonable conduct in commercial affairs.   This general principle governs the obligations of an employee after his employer has wrongfully repudiated or terminated the employment contract. Rather than permitting the employee simply to remain idle during the balance of the contract period, the law requires him to make a reasonable effort to secure other employment.   He is not obliged, however, to seek or accept any and all types of work which may be available.  Only work which is in the same field and which is of the same quality need be accepted.</w:t>
      </w:r>
    </w:p>
    <w:p w:rsidR="00032A5B" w:rsidRDefault="00032A5B" w:rsidP="00032A5B">
      <w:pPr>
        <w:spacing w:before="120"/>
      </w:pPr>
      <w:r>
        <w:t xml:space="preserve">In California, it has been held that he must accept employment which is "substantially similar." . . . </w:t>
      </w:r>
    </w:p>
    <w:p w:rsidR="00032A5B" w:rsidRDefault="00032A5B" w:rsidP="00032A5B">
      <w:pPr>
        <w:spacing w:before="120"/>
      </w:pPr>
      <w:r>
        <w:t xml:space="preserve">The relevant language excuses acceptance only of employment which is of a </w:t>
      </w:r>
      <w:r>
        <w:rPr>
          <w:i/>
          <w:iCs/>
        </w:rPr>
        <w:t>different kind</w:t>
      </w:r>
      <w:r>
        <w:t xml:space="preserve">.  It has never been the law that the mere existence of </w:t>
      </w:r>
      <w:r>
        <w:rPr>
          <w:i/>
          <w:iCs/>
        </w:rPr>
        <w:t>differences between two jobs in the same field</w:t>
      </w:r>
      <w:r>
        <w:t xml:space="preserve"> is sufficient, as a matter of law, to excuse an employee wrongfully discharged from one from accepting the other in order to mitigate damages.  Such an approach would effectively eliminate any obligation of an employee to attempt to minimize damage arising from a wrongful discharge. The only alternative job offer an employee would be required to accept would be an offer of his former job by his former employer.</w:t>
      </w:r>
    </w:p>
    <w:p w:rsidR="00032A5B" w:rsidRDefault="00032A5B" w:rsidP="00032A5B">
      <w:pPr>
        <w:spacing w:before="120"/>
      </w:pPr>
      <w:r>
        <w:t xml:space="preserve">Although the majority appear to hold that there was a difference "in kind" between the employment offered plaintiff in "Bloomer Girl" and that offered in "Big Country", an examination of the opinion makes crystal clear that the majority merely point out differences between the two </w:t>
      </w:r>
      <w:r>
        <w:rPr>
          <w:i/>
          <w:iCs/>
        </w:rPr>
        <w:t>films</w:t>
      </w:r>
      <w:r>
        <w:t xml:space="preserve"> (an obvious circumstance) and then assert that these constitute a difference in the </w:t>
      </w:r>
      <w:r>
        <w:rPr>
          <w:i/>
          <w:iCs/>
        </w:rPr>
        <w:t>kind</w:t>
      </w:r>
      <w:r>
        <w:t xml:space="preserve"> of </w:t>
      </w:r>
      <w:r>
        <w:rPr>
          <w:i/>
          <w:iCs/>
        </w:rPr>
        <w:t>employment</w:t>
      </w:r>
      <w:r>
        <w:t>.  The entire rationale of the majority boils down to this: that the "</w:t>
      </w:r>
      <w:r>
        <w:rPr>
          <w:i/>
          <w:iCs/>
        </w:rPr>
        <w:t>mere circumstances</w:t>
      </w:r>
      <w:r>
        <w:t xml:space="preserve">" that "Bloomer Girl" was to be a musical review while "Big Country" was a straight drama "demonstrates the difference in kind" since a female lead in a western is not "the equivalent of or substantially similar to" a lead in a musical. This is merely attempting to prove the proposition by repeating it.  It shows that the vehicles for the display of the star's talents are different but it does not prove that her employment as a star in such vehicles is of necessity different </w:t>
      </w:r>
      <w:r>
        <w:rPr>
          <w:i/>
          <w:iCs/>
        </w:rPr>
        <w:t>in kind</w:t>
      </w:r>
      <w:r>
        <w:t xml:space="preserve"> and either inferior or superior.</w:t>
      </w:r>
    </w:p>
    <w:p w:rsidR="00032A5B" w:rsidRDefault="00032A5B" w:rsidP="00032A5B">
      <w:pPr>
        <w:spacing w:before="120"/>
      </w:pPr>
      <w:r>
        <w:lastRenderedPageBreak/>
        <w:t xml:space="preserve">The inquiry in cases such as this should not be whether differences between the two jobs exist (there will always be differences) but whether the differences which are present are substantial enough to constitute differences in the </w:t>
      </w:r>
      <w:r>
        <w:rPr>
          <w:i/>
          <w:iCs/>
        </w:rPr>
        <w:t>kind</w:t>
      </w:r>
      <w:r>
        <w:t xml:space="preserve"> of employment or, alternatively, whether they render the substitute work employment of an </w:t>
      </w:r>
      <w:r>
        <w:rPr>
          <w:i/>
          <w:iCs/>
        </w:rPr>
        <w:t>inferior kind</w:t>
      </w:r>
      <w:r>
        <w:t>.</w:t>
      </w:r>
    </w:p>
    <w:p w:rsidR="00032A5B" w:rsidRDefault="00032A5B" w:rsidP="00032A5B">
      <w:pPr>
        <w:spacing w:before="120"/>
      </w:pPr>
      <w:r>
        <w:t xml:space="preserve">It seems to me that </w:t>
      </w:r>
      <w:r>
        <w:rPr>
          <w:i/>
          <w:iCs/>
        </w:rPr>
        <w:t>this</w:t>
      </w:r>
      <w:r>
        <w:t xml:space="preserve"> inquiry involves, in the instant case at least, factual determinations which are improper on a motion for summary judgment. Resolving whether or not one job is substantially similar to another or whether, on the other hand, it is of a different or inferior kind, will often (as here) require a critical appraisal of the similarities and differences between them in light of the importance of these differences to the employee.  This necessitates a weighing of the evidence, and it is precisely this undertaking which is forbidden on summary judgment. . . .</w:t>
      </w:r>
    </w:p>
    <w:p w:rsidR="00032A5B" w:rsidRDefault="00032A5B" w:rsidP="00032A5B">
      <w:pPr>
        <w:spacing w:before="120"/>
      </w:pPr>
      <w:r>
        <w:t xml:space="preserve">It is not intuitively obvious, to me at least, that the leading female role in a dramatic motion picture is a radically different endeavor from the leading female role in a musical comedy film. Nor is it plain to me that the rather qualified rights of director and screenplay approval contained in the first contract are highly significant matters either in the entertainment industry in general or to this plaintiff in particular.  Certainly, none of the declarations introduced by plaintiff in support of her motion shed any light on these issues.  Nor do they attempt to explain why she declined the offer of starring in "Big Country, </w:t>
      </w:r>
      <w:smartTag w:uri="urn:schemas-microsoft-com:office:smarttags" w:element="place">
        <w:smartTag w:uri="urn:schemas-microsoft-com:office:smarttags" w:element="City">
          <w:r>
            <w:t>Big</w:t>
          </w:r>
        </w:smartTag>
        <w:r>
          <w:t xml:space="preserve"> </w:t>
        </w:r>
        <w:smartTag w:uri="urn:schemas-microsoft-com:office:smarttags" w:element="State">
          <w:r>
            <w:t>Man.</w:t>
          </w:r>
        </w:smartTag>
      </w:smartTag>
      <w:r>
        <w:t>" Nevertheless, the trial court granted the motion, declaring that these approval rights were "critical" and that their elimination altered "the essential nature of the employment."</w:t>
      </w:r>
    </w:p>
    <w:p w:rsidR="00032A5B" w:rsidRDefault="00032A5B" w:rsidP="00032A5B">
      <w:pPr>
        <w:spacing w:before="120"/>
      </w:pPr>
      <w:r>
        <w:t>I believe that the judgment should be reversed so that the issue of whether or not the offer of the lead role in "Big Country, Big Man" was of employment comparable to that of the lead role in "Bloomer Girl" may be determined at trial.</w:t>
      </w:r>
    </w:p>
    <w:p w:rsidR="00032A5B" w:rsidRPr="005E59C7" w:rsidRDefault="00032A5B" w:rsidP="00032A5B">
      <w:pPr>
        <w:spacing w:before="120"/>
        <w:jc w:val="center"/>
        <w:rPr>
          <w:bCs/>
        </w:rPr>
      </w:pPr>
      <w:r>
        <w:br w:type="page"/>
      </w:r>
      <w:smartTag w:uri="urn:schemas-microsoft-com:office:smarttags" w:element="place">
        <w:smartTag w:uri="urn:schemas-microsoft-com:office:smarttags" w:element="State">
          <w:r w:rsidRPr="005E59C7">
            <w:rPr>
              <w:bCs/>
            </w:rPr>
            <w:lastRenderedPageBreak/>
            <w:t>CALIFORNIA</w:t>
          </w:r>
        </w:smartTag>
      </w:smartTag>
      <w:r w:rsidRPr="005E59C7">
        <w:rPr>
          <w:bCs/>
        </w:rPr>
        <w:t xml:space="preserve"> AND HAWAIIAN SUGAR COMPANY, a California Corp., Plain</w:t>
      </w:r>
      <w:r>
        <w:rPr>
          <w:bCs/>
        </w:rPr>
        <w:t>tiff</w:t>
      </w:r>
      <w:r w:rsidRPr="005E59C7">
        <w:rPr>
          <w:bCs/>
        </w:rPr>
        <w:t>-Appellant v. SUN SHIP, INC., a Pennsylvania Corp., Defe</w:t>
      </w:r>
      <w:r>
        <w:rPr>
          <w:bCs/>
        </w:rPr>
        <w:t>n</w:t>
      </w:r>
      <w:r w:rsidRPr="005E59C7">
        <w:rPr>
          <w:bCs/>
        </w:rPr>
        <w:t>dant</w:t>
      </w:r>
      <w:r>
        <w:rPr>
          <w:bCs/>
        </w:rPr>
        <w:t>/</w:t>
      </w:r>
      <w:r w:rsidRPr="005E59C7">
        <w:rPr>
          <w:bCs/>
        </w:rPr>
        <w:t>Appellant</w:t>
      </w:r>
    </w:p>
    <w:p w:rsidR="00032A5B" w:rsidRPr="005E59C7" w:rsidRDefault="00032A5B" w:rsidP="00032A5B">
      <w:pPr>
        <w:rPr>
          <w:bCs/>
        </w:rPr>
      </w:pPr>
    </w:p>
    <w:p w:rsidR="00032A5B" w:rsidRPr="005E59C7" w:rsidRDefault="00032A5B" w:rsidP="00032A5B">
      <w:pPr>
        <w:ind w:left="1200" w:right="1200"/>
        <w:jc w:val="center"/>
        <w:rPr>
          <w:bCs/>
        </w:rPr>
      </w:pPr>
      <w:smartTag w:uri="urn:schemas-microsoft-com:office:smarttags" w:element="place">
        <w:smartTag w:uri="urn:schemas-microsoft-com:office:smarttags" w:element="country-region">
          <w:r w:rsidRPr="005E59C7">
            <w:rPr>
              <w:bCs/>
            </w:rPr>
            <w:t>United States</w:t>
          </w:r>
        </w:smartTag>
      </w:smartTag>
      <w:r w:rsidRPr="005E59C7">
        <w:rPr>
          <w:bCs/>
        </w:rPr>
        <w:t xml:space="preserve"> Court </w:t>
      </w:r>
      <w:r>
        <w:rPr>
          <w:bCs/>
        </w:rPr>
        <w:t>o</w:t>
      </w:r>
      <w:r w:rsidRPr="005E59C7">
        <w:rPr>
          <w:bCs/>
        </w:rPr>
        <w:t xml:space="preserve">f Appeals </w:t>
      </w:r>
      <w:r>
        <w:rPr>
          <w:bCs/>
        </w:rPr>
        <w:t>f</w:t>
      </w:r>
      <w:r w:rsidRPr="005E59C7">
        <w:rPr>
          <w:bCs/>
        </w:rPr>
        <w:t xml:space="preserve">or </w:t>
      </w:r>
      <w:r>
        <w:rPr>
          <w:bCs/>
        </w:rPr>
        <w:t>t</w:t>
      </w:r>
      <w:r w:rsidRPr="005E59C7">
        <w:rPr>
          <w:bCs/>
        </w:rPr>
        <w:t>he Ninth Circuit</w:t>
      </w:r>
    </w:p>
    <w:p w:rsidR="00032A5B" w:rsidRPr="005E59C7" w:rsidRDefault="00032A5B" w:rsidP="00032A5B">
      <w:pPr>
        <w:rPr>
          <w:bCs/>
        </w:rPr>
      </w:pPr>
    </w:p>
    <w:p w:rsidR="00032A5B" w:rsidRPr="005E59C7" w:rsidRDefault="00032A5B" w:rsidP="00032A5B">
      <w:pPr>
        <w:ind w:left="1200" w:right="1200"/>
        <w:jc w:val="center"/>
        <w:rPr>
          <w:bCs/>
        </w:rPr>
      </w:pPr>
      <w:r w:rsidRPr="005E59C7">
        <w:rPr>
          <w:bCs/>
        </w:rPr>
        <w:t>794 F.2d 1433</w:t>
      </w:r>
    </w:p>
    <w:p w:rsidR="00032A5B" w:rsidRPr="005E59C7" w:rsidRDefault="00032A5B" w:rsidP="00032A5B">
      <w:pPr>
        <w:rPr>
          <w:bCs/>
        </w:rPr>
      </w:pPr>
    </w:p>
    <w:p w:rsidR="00032A5B" w:rsidRPr="005E59C7" w:rsidRDefault="00032A5B" w:rsidP="00032A5B">
      <w:pPr>
        <w:ind w:left="1200" w:right="1200"/>
        <w:jc w:val="center"/>
        <w:rPr>
          <w:bCs/>
        </w:rPr>
      </w:pPr>
      <w:smartTag w:uri="urn:schemas-microsoft-com:office:smarttags" w:element="date">
        <w:smartTagPr>
          <w:attr w:name="Year" w:val="1986"/>
          <w:attr w:name="Day" w:val="14"/>
          <w:attr w:name="Month" w:val="5"/>
          <w:attr w:name="ls" w:val="trans"/>
        </w:smartTagPr>
        <w:r w:rsidRPr="005E59C7">
          <w:rPr>
            <w:bCs/>
          </w:rPr>
          <w:t>May 14, 1986</w:t>
        </w:r>
      </w:smartTag>
      <w:r w:rsidRPr="005E59C7">
        <w:rPr>
          <w:bCs/>
        </w:rPr>
        <w:t xml:space="preserve">, Argued </w:t>
      </w:r>
    </w:p>
    <w:p w:rsidR="00032A5B" w:rsidRDefault="00032A5B" w:rsidP="00032A5B"/>
    <w:p w:rsidR="00032A5B" w:rsidRPr="005E59C7" w:rsidRDefault="00032A5B" w:rsidP="00032A5B"/>
    <w:p w:rsidR="00032A5B" w:rsidRPr="005E59C7" w:rsidRDefault="00032A5B" w:rsidP="00032A5B">
      <w:r w:rsidRPr="005E59C7">
        <w:rPr>
          <w:bCs/>
        </w:rPr>
        <w:t xml:space="preserve">JUDGES: </w:t>
      </w:r>
      <w:r>
        <w:rPr>
          <w:bCs/>
        </w:rPr>
        <w:t xml:space="preserve"> </w:t>
      </w:r>
      <w:r w:rsidRPr="005E59C7">
        <w:t xml:space="preserve">Nelson, Canby and Noonan, Circuit Judges.  </w:t>
      </w:r>
      <w:r>
        <w:t>Opinion by Noonan</w:t>
      </w:r>
    </w:p>
    <w:p w:rsidR="00032A5B" w:rsidRDefault="00032A5B" w:rsidP="00032A5B">
      <w:pPr>
        <w:spacing w:before="120"/>
      </w:pPr>
    </w:p>
    <w:p w:rsidR="00032A5B" w:rsidRDefault="00032A5B" w:rsidP="00032A5B">
      <w:pPr>
        <w:spacing w:before="120"/>
      </w:pPr>
      <w:r>
        <w:t xml:space="preserve">Jurisdiction in this case is based on the diversity of citizenship of </w:t>
      </w:r>
      <w:smartTag w:uri="urn:schemas-microsoft-com:office:smarttags" w:element="State">
        <w:r>
          <w:t>California</w:t>
        </w:r>
      </w:smartTag>
      <w:r>
        <w:t xml:space="preserve"> and Hawaiian Sugar company (C and H), a </w:t>
      </w:r>
      <w:smartTag w:uri="urn:schemas-microsoft-com:office:smarttags" w:element="State">
        <w:r>
          <w:t>California</w:t>
        </w:r>
      </w:smartTag>
      <w:r>
        <w:t xml:space="preserve"> corporation; and Sun Ship, Inc. (Sun), a </w:t>
      </w:r>
      <w:smartTag w:uri="urn:schemas-microsoft-com:office:smarttags" w:element="State">
        <w:r>
          <w:t>Pennsylvania</w:t>
        </w:r>
      </w:smartTag>
      <w:r>
        <w:t xml:space="preserve"> corporation.  Interpreting a contract which provides for construction by the law of </w:t>
      </w:r>
      <w:smartTag w:uri="urn:schemas-microsoft-com:office:smarttags" w:element="State">
        <w:r>
          <w:t>Pennsylvania</w:t>
        </w:r>
      </w:smartTag>
      <w:r>
        <w:t xml:space="preserve">, we apply </w:t>
      </w:r>
      <w:smartTag w:uri="urn:schemas-microsoft-com:office:smarttags" w:element="place">
        <w:smartTag w:uri="urn:schemas-microsoft-com:office:smarttags" w:element="State">
          <w:r>
            <w:t>Pennsylvania</w:t>
          </w:r>
        </w:smartTag>
      </w:smartTag>
      <w:r>
        <w:t xml:space="preserve"> law. The appeal is from a judgment of the district court in favor of C and H on the main issues. Reviewing the district court's interpretation of the contract anew as a matter of law and respecting the findings of fact of the district court when not clearly erroneous, we affirm the judgment in all respects. </w:t>
      </w:r>
    </w:p>
    <w:p w:rsidR="00032A5B" w:rsidRDefault="00032A5B" w:rsidP="00032A5B">
      <w:pPr>
        <w:spacing w:before="120"/>
      </w:pPr>
    </w:p>
    <w:p w:rsidR="00032A5B" w:rsidRDefault="00032A5B" w:rsidP="00032A5B">
      <w:pPr>
        <w:spacing w:before="120"/>
      </w:pPr>
      <w:r>
        <w:t xml:space="preserve">BACKGROUND </w:t>
      </w:r>
    </w:p>
    <w:p w:rsidR="00032A5B" w:rsidRDefault="00032A5B" w:rsidP="00032A5B">
      <w:pPr>
        <w:spacing w:before="120"/>
      </w:pPr>
      <w:r>
        <w:t xml:space="preserve">C and H is an agricultural cooperative owned by fourteen sugar plantations in </w:t>
      </w:r>
      <w:smartTag w:uri="urn:schemas-microsoft-com:office:smarttags" w:element="place">
        <w:smartTag w:uri="urn:schemas-microsoft-com:office:smarttags" w:element="State">
          <w:r>
            <w:t>Hawaii</w:t>
          </w:r>
        </w:smartTag>
      </w:smartTag>
      <w:r>
        <w:t xml:space="preserve">. Its business consists in transporting raw sugar — the crushed cane in the form of coarse brown crystal — to its refinery in </w:t>
      </w:r>
      <w:smartTag w:uri="urn:schemas-microsoft-com:office:smarttags" w:element="place">
        <w:smartTag w:uri="urn:schemas-microsoft-com:office:smarttags" w:element="City">
          <w:r>
            <w:t>Crockett</w:t>
          </w:r>
        </w:smartTag>
        <w:r>
          <w:t xml:space="preserve">, </w:t>
        </w:r>
        <w:smartTag w:uri="urn:schemas-microsoft-com:office:smarttags" w:element="State">
          <w:r>
            <w:t>California</w:t>
          </w:r>
        </w:smartTag>
      </w:smartTag>
      <w:r>
        <w:t xml:space="preserve">. Roughly one million tons a year of sugar are harvested in </w:t>
      </w:r>
      <w:smartTag w:uri="urn:schemas-microsoft-com:office:smarttags" w:element="place">
        <w:smartTag w:uri="urn:schemas-microsoft-com:office:smarttags" w:element="State">
          <w:r>
            <w:t>Hawaii</w:t>
          </w:r>
        </w:smartTag>
      </w:smartTag>
      <w:r>
        <w:t>.  A small portion is refined there; the bulk goes to Crockett. The refined sugar — the white stuff — is sold by C and H to groceries for home consumption and to the soft drink and cereal companies that are its industrial customers.</w:t>
      </w:r>
    </w:p>
    <w:p w:rsidR="00032A5B" w:rsidRDefault="00032A5B" w:rsidP="00032A5B">
      <w:pPr>
        <w:spacing w:before="120"/>
      </w:pPr>
      <w:r>
        <w:t xml:space="preserve">To conduct its business, C and H has an imperative need for assured carriage for the raw sugar from the islands. Sugar is a seasonal crop, with 70 percent of the harvest occurring between April and October, while almost nothing is harvestable during December and January. Consequently, transportation must not only be available, but seasonably available. Storage capacity in </w:t>
      </w:r>
      <w:smartTag w:uri="urn:schemas-microsoft-com:office:smarttags" w:element="State">
        <w:smartTag w:uri="urn:schemas-microsoft-com:office:smarttags" w:element="place">
          <w:r>
            <w:t>Hawaii</w:t>
          </w:r>
        </w:smartTag>
      </w:smartTag>
      <w:r>
        <w:t xml:space="preserve"> accommodates not more than a quarter of the crop. Left stored on the ground or left unharvested, sugar suffers the loss of sucrose and goes to waste. Shipping ready and able to carry the raw sugar is a priority for C and H.</w:t>
      </w:r>
    </w:p>
    <w:p w:rsidR="00032A5B" w:rsidRDefault="00032A5B" w:rsidP="00032A5B">
      <w:pPr>
        <w:spacing w:before="120"/>
      </w:pPr>
      <w:r>
        <w:t>In 1979 C and H was notified that Matson Navigation Company, which had been supplying the bulk of the necessary shipping, was withdrawing its services as of January 1981. While C and H had some ships at its disposal, it found a pressing need for a large new vessel, to be in service at the height of the sugar season in 1981.  It decided to commission the building of a kind of hybrid — a tug of catamaran design with two hulls and, joined to the tug, a barge with a wedge which would lock between the two pontoons of the tug, producing an "integrated tug barge."  In Hawaiian, the barge and the entire vessel were each described as a Mocababoo or push boat.</w:t>
      </w:r>
    </w:p>
    <w:p w:rsidR="00032A5B" w:rsidRDefault="00032A5B" w:rsidP="00032A5B">
      <w:pPr>
        <w:spacing w:before="120"/>
      </w:pPr>
      <w:r>
        <w:t xml:space="preserve">C and H relied on the architectural advice of the </w:t>
      </w:r>
      <w:smartTag w:uri="urn:schemas-microsoft-com:office:smarttags" w:element="State">
        <w:smartTag w:uri="urn:schemas-microsoft-com:office:smarttags" w:element="place">
          <w:r>
            <w:t>New York</w:t>
          </w:r>
        </w:smartTag>
      </w:smartTag>
      <w:r>
        <w:t xml:space="preserve"> firm, J. J. Henry. It solicited bids from shipyards, indicating as an essential term a "preferred delivery date" of June 1981. It decided to accept Sun's offer to build the vessel. </w:t>
      </w:r>
    </w:p>
    <w:p w:rsidR="00032A5B" w:rsidRDefault="00032A5B" w:rsidP="00032A5B">
      <w:pPr>
        <w:spacing w:before="120"/>
      </w:pPr>
      <w:r>
        <w:t xml:space="preserve">In the fall of 1979 C and H entered into negotiations with Sun on the precise terms of the contract.  Each company was represented by a vice-president with managerial responsibility in the area of negotiation; each company had a team of negotiators; each company had the advice of counsel in drafting the agreement that was signed on </w:t>
      </w:r>
      <w:smartTag w:uri="urn:schemas-microsoft-com:office:smarttags" w:element="date">
        <w:smartTagPr>
          <w:attr w:name="Year" w:val="1979"/>
          <w:attr w:name="Day" w:val="14"/>
          <w:attr w:name="Month" w:val="11"/>
          <w:attr w:name="ls" w:val="trans"/>
        </w:smartTagPr>
        <w:r>
          <w:t>November 14, 1979</w:t>
        </w:r>
      </w:smartTag>
      <w:r>
        <w:t xml:space="preserve">. The contract identified C and H as the Purchaser, and Sun as the Contractor; it identified "one non-self-propelled oceangoing barge" as the Vessel that Purchaser was buying from Contractor.   Article I provided that Contractor would deliver the Vessel on </w:t>
      </w:r>
      <w:smartTag w:uri="urn:schemas-microsoft-com:office:smarttags" w:element="date">
        <w:smartTagPr>
          <w:attr w:name="Year" w:val="1981"/>
          <w:attr w:name="Day" w:val="30"/>
          <w:attr w:name="Month" w:val="6"/>
          <w:attr w:name="ls" w:val="trans"/>
        </w:smartTagPr>
        <w:r>
          <w:t>June 30, 1981</w:t>
        </w:r>
      </w:smartTag>
      <w:r>
        <w:t xml:space="preserve">.  The contract price was $25,405,000. </w:t>
      </w:r>
    </w:p>
    <w:p w:rsidR="00032A5B" w:rsidRDefault="00032A5B" w:rsidP="00032A5B">
      <w:pPr>
        <w:spacing w:before="120"/>
      </w:pPr>
      <w:r>
        <w:t xml:space="preserve">Under Article I of the agreement, Sun was entitled to an extension of the delivery date for the usual types of force majeure [e.g. war or other acts of God]. . .  Article 17 "Delivery" provided that "the Vessel shall be offered for delivery fully and completely connected with the Tug."  Article 8, "Liquidated Damages for Delay in Delivery" provided that if "Delivery of the Vessel" was not made on "the Delivery Date" of </w:t>
      </w:r>
      <w:smartTag w:uri="urn:schemas-microsoft-com:office:smarttags" w:element="date">
        <w:smartTagPr>
          <w:attr w:name="Year" w:val="1981"/>
          <w:attr w:name="Day" w:val="30"/>
          <w:attr w:name="Month" w:val="6"/>
          <w:attr w:name="ls" w:val="trans"/>
        </w:smartTagPr>
        <w:r>
          <w:t>June 30, 1981</w:t>
        </w:r>
      </w:smartTag>
      <w:r>
        <w:t>, Sun would pay C and H "as per-day liquidated damages, and not as a penalty" a sum described as "a reasonable measure of the damages" — $17,000 per day.</w:t>
      </w:r>
    </w:p>
    <w:p w:rsidR="00032A5B" w:rsidRDefault="00032A5B" w:rsidP="00032A5B">
      <w:pPr>
        <w:spacing w:before="120"/>
      </w:pPr>
      <w:r>
        <w:t xml:space="preserve">The tug (the "Vessel" of that contract) was to be delivered on </w:t>
      </w:r>
      <w:smartTag w:uri="urn:schemas-microsoft-com:office:smarttags" w:element="date">
        <w:smartTagPr>
          <w:attr w:name="ls" w:val="trans"/>
          <w:attr w:name="Month" w:val="4"/>
          <w:attr w:name="Day" w:val="30"/>
          <w:attr w:name="Year" w:val="1981"/>
        </w:smartTagPr>
        <w:r>
          <w:t>April 30, 1981</w:t>
        </w:r>
      </w:smartTag>
      <w:r>
        <w:t xml:space="preserve"> at Sun's shipyard. </w:t>
      </w:r>
    </w:p>
    <w:p w:rsidR="00032A5B" w:rsidRDefault="00032A5B" w:rsidP="00032A5B">
      <w:pPr>
        <w:spacing w:before="120"/>
      </w:pPr>
      <w:r>
        <w:t xml:space="preserve">The sub-contractor did not complete the tug until </w:t>
      </w:r>
      <w:smartTag w:uri="urn:schemas-microsoft-com:office:smarttags" w:element="date">
        <w:smartTagPr>
          <w:attr w:name="ls" w:val="trans"/>
          <w:attr w:name="Month" w:val="7"/>
          <w:attr w:name="Day" w:val="15"/>
          <w:attr w:name="Year" w:val="1982"/>
        </w:smartTagPr>
        <w:r>
          <w:t>July 15, 1982</w:t>
        </w:r>
      </w:smartTag>
      <w:r>
        <w:t xml:space="preserve">.  Sun did not complete the barge until </w:t>
      </w:r>
      <w:smartTag w:uri="urn:schemas-microsoft-com:office:smarttags" w:element="date">
        <w:smartTagPr>
          <w:attr w:name="Year" w:val="1982"/>
          <w:attr w:name="Day" w:val="16"/>
          <w:attr w:name="Month" w:val="3"/>
          <w:attr w:name="ls" w:val="trans"/>
        </w:smartTagPr>
        <w:r>
          <w:t>March 16, 1982</w:t>
        </w:r>
      </w:smartTag>
      <w:r>
        <w:t xml:space="preserve">. Tug and barge were finally connected under C and H's direction in mid-July 1982 and christened the Moku Pahu.  Although Sun </w:t>
      </w:r>
      <w:r>
        <w:lastRenderedPageBreak/>
        <w:t xml:space="preserve">paid C and H $17,000 per day from </w:t>
      </w:r>
      <w:smartTag w:uri="urn:schemas-microsoft-com:office:smarttags" w:element="date">
        <w:smartTagPr>
          <w:attr w:name="Year" w:val="1981"/>
          <w:attr w:name="Day" w:val="30"/>
          <w:attr w:name="Month" w:val="6"/>
          <w:attr w:name="ls" w:val="trans"/>
        </w:smartTagPr>
        <w:r>
          <w:t>June 30, 1981</w:t>
        </w:r>
      </w:smartTag>
      <w:r>
        <w:t xml:space="preserve"> until </w:t>
      </w:r>
      <w:smartTag w:uri="urn:schemas-microsoft-com:office:smarttags" w:element="date">
        <w:smartTagPr>
          <w:attr w:name="Year" w:val="1982"/>
          <w:attr w:name="Day" w:val="10"/>
          <w:attr w:name="Month" w:val="1"/>
          <w:attr w:name="ls" w:val="trans"/>
        </w:smartTagPr>
        <w:r>
          <w:t>January 10, 1982</w:t>
        </w:r>
      </w:smartTag>
      <w:r>
        <w:t>, it ultimately denied liability for any damages, and this lawsuit resulted.</w:t>
      </w:r>
    </w:p>
    <w:p w:rsidR="000C7ACA" w:rsidRDefault="000C7ACA" w:rsidP="00032A5B">
      <w:pPr>
        <w:spacing w:before="120"/>
      </w:pPr>
    </w:p>
    <w:p w:rsidR="00032A5B" w:rsidRDefault="00032A5B" w:rsidP="00032A5B">
      <w:pPr>
        <w:spacing w:before="120"/>
      </w:pPr>
      <w:r>
        <w:t xml:space="preserve">ANALYSIS </w:t>
      </w:r>
    </w:p>
    <w:p w:rsidR="00032A5B" w:rsidRDefault="00032A5B" w:rsidP="00032A5B">
      <w:pPr>
        <w:spacing w:before="120"/>
      </w:pPr>
      <w:r>
        <w:t xml:space="preserve">Sun contends that the $17,000 per day is a penalty, not to be enforced by the court.  The barge, Sun points out, was useless to C and H without the tug. Unconnected, the barge was worse than useless — it was an expensive liability.  C and H did not want the barge by itself. To get $17,000 per day as "damages" for failure to provide an unwanted and unusable craft is, Sun says, to exact a penalty. . .   Breach of contract entitles the wronged party only to fair compensation. </w:t>
      </w:r>
    </w:p>
    <w:p w:rsidR="00032A5B" w:rsidRDefault="00032A5B" w:rsidP="00032A5B">
      <w:pPr>
        <w:spacing w:before="120"/>
      </w:pPr>
      <w:r>
        <w:t xml:space="preserve">Seductive as Sun's argument is, it does not carry the day. Represented by sophisticated representatives, C and H and Sun reached the agreement that $17,000 a day was the reasonable measure of the loss C and H would suffer if the barge was not ready.  Of course they assumed that the tug would be ready.  But in reasonable anticipation of the damages that would occur if the tug was ready and the barge was not, Article 8 was adopted.  As the parties foresaw the situation, C and H would have a tug waiting connection but no barge and so no shipping. The anticipated damages were what might be expected if C and H could not transport the Hawaiian sugar crop at the height of the season. Those damages were clearly before both parties.  As Sun's chief negotiator testified, he had "a vision" of a "mountain of sugar piling up in </w:t>
      </w:r>
      <w:smartTag w:uri="urn:schemas-microsoft-com:office:smarttags" w:element="State">
        <w:smartTag w:uri="urn:schemas-microsoft-com:office:smarttags" w:element="place">
          <w:r>
            <w:t>Hawaii</w:t>
          </w:r>
        </w:smartTag>
      </w:smartTag>
      <w:r>
        <w:t xml:space="preserve">" — a vision that C and H conjured up in negotiating the damage clause.  Given the anticipated impact on C and H's raw sugar and on C and H's ability to meet the demands of its grocery and industrial customers if the sugar could not be transported, liquidated damages of $17,000 a day were completely reasonable. </w:t>
      </w:r>
    </w:p>
    <w:p w:rsidR="00032A5B" w:rsidRDefault="00032A5B" w:rsidP="00032A5B">
      <w:pPr>
        <w:spacing w:before="120"/>
      </w:pPr>
      <w:r>
        <w:t xml:space="preserve">The situation as it developed was different from the anticipation.  The barge was not ready but neither was the tug.  C and H was in fact able to find other shipping.  The crop did not rot.  The customers were not left sugarless.  Sun argues that, measured by the actual damages suffered, the liquidated damages were penal. </w:t>
      </w:r>
    </w:p>
    <w:p w:rsidR="00032A5B" w:rsidRDefault="00032A5B" w:rsidP="00032A5B">
      <w:pPr>
        <w:spacing w:before="120"/>
      </w:pPr>
      <w:r>
        <w:t xml:space="preserve">We look to </w:t>
      </w:r>
      <w:smartTag w:uri="urn:schemas-microsoft-com:office:smarttags" w:element="State">
        <w:smartTag w:uri="urn:schemas-microsoft-com:office:smarttags" w:element="place">
          <w:r>
            <w:t>Pennsylvania</w:t>
          </w:r>
        </w:smartTag>
      </w:smartTag>
      <w:r>
        <w:t xml:space="preserve"> law for guidance. Although no </w:t>
      </w:r>
      <w:smartTag w:uri="urn:schemas-microsoft-com:office:smarttags" w:element="State">
        <w:smartTag w:uri="urn:schemas-microsoft-com:office:smarttags" w:element="place">
          <w:r>
            <w:t>Pennsylvania</w:t>
          </w:r>
        </w:smartTag>
      </w:smartTag>
      <w:r>
        <w:t xml:space="preserve"> case is squarely on point, it is probable that </w:t>
      </w:r>
      <w:smartTag w:uri="urn:schemas-microsoft-com:office:smarttags" w:element="State">
        <w:smartTag w:uri="urn:schemas-microsoft-com:office:smarttags" w:element="place">
          <w:r>
            <w:t>Pennsylvania</w:t>
          </w:r>
        </w:smartTag>
      </w:smartTag>
      <w:r>
        <w:t xml:space="preserve"> would interpret the contract as a sale of goods governed by the Uniform Commercial Code. . . . The governing statute provides that liquidated damages are considered reasonable "in the light of anticipated or actual harm.". . . </w:t>
      </w:r>
    </w:p>
    <w:p w:rsidR="00032A5B" w:rsidRDefault="00032A5B" w:rsidP="00032A5B">
      <w:pPr>
        <w:spacing w:before="120"/>
      </w:pPr>
      <w:r>
        <w:t xml:space="preserve">Prior to the adoption of the Uniform Commercial Code, Pennsylvania enforced liquidated damage clauses that its courts labeled as nonpenal, but equitable considerations relating to the actual harm incurred were taken into account along with the difficulty of proving damages if a liquidated damage clause was rejected. We do not believe that the </w:t>
      </w:r>
      <w:r>
        <w:rPr>
          <w:i/>
          <w:iCs/>
        </w:rPr>
        <w:t>U.C.C.</w:t>
      </w:r>
      <w:r>
        <w:t xml:space="preserve"> overrode this line of reasoning. . . . </w:t>
      </w:r>
    </w:p>
    <w:p w:rsidR="00032A5B" w:rsidRDefault="00032A5B" w:rsidP="00032A5B">
      <w:pPr>
        <w:spacing w:before="120"/>
      </w:pPr>
      <w:r>
        <w:t xml:space="preserve">We conclude, therefore, that in this case of concurrent causation each defaulting contractor is liable for the breach and for the substantial damages which the joint breach occasions. Sun is a substantial cause of the damages flowing from the lack of the integrated tug; Sun cannot be absolved by the absence of the tug. . . . </w:t>
      </w:r>
    </w:p>
    <w:p w:rsidR="00032A5B" w:rsidRDefault="00032A5B" w:rsidP="00032A5B">
      <w:pPr>
        <w:spacing w:before="120"/>
      </w:pPr>
      <w:r>
        <w:t>Sun contends that the actual damages suffered by C and H for lack of the integrated tug boat were slight. Actual damages were found by the district court to consist of "interest on progress payments, unfavorable terms of conversion to long-term financing, and additional labor expense." No dollar amount was determined by the district court in finding that these damages "bore a reasonable relationship to the amount liquidated in the Barge Contract. . . "</w:t>
      </w:r>
    </w:p>
    <w:p w:rsidR="00032A5B" w:rsidRDefault="00032A5B" w:rsidP="00032A5B">
      <w:pPr>
        <w:spacing w:before="120"/>
      </w:pPr>
      <w:r>
        <w:t>The net actual damages suffered by C and H were $368,000.  As a matter of law, Sun contends that the liquidated damages are unreasonably disproportionate to the net actual damages.</w:t>
      </w:r>
      <w:r w:rsidR="00064C4B">
        <w:t xml:space="preserve"> </w:t>
      </w:r>
    </w:p>
    <w:p w:rsidR="00032A5B" w:rsidRDefault="00032A5B" w:rsidP="00032A5B">
      <w:pPr>
        <w:spacing w:before="120"/>
      </w:pPr>
      <w:r>
        <w:t xml:space="preserve">. . . Promising to pay damages of a fixed amount, the parties normally have a much better sense of what damages can occur.  Courts must be reluctant to override their judgment.  Where damages are real but difficult to prove, injustice will be done the injured party if the court substitutes the requirements of judicial proof for the parties' own informed agreement as to what is a reasonable measure of damages. </w:t>
      </w:r>
      <w:r w:rsidR="00064C4B">
        <w:t xml:space="preserve">. . .  </w:t>
      </w:r>
      <w:r>
        <w:t xml:space="preserve">The liquidated damage clause here functions in lieu of a court's determination of the consequential damages suffered by C and H. . . . </w:t>
      </w:r>
    </w:p>
    <w:p w:rsidR="00032A5B" w:rsidRDefault="00032A5B" w:rsidP="00032A5B">
      <w:pPr>
        <w:spacing w:before="120"/>
      </w:pPr>
      <w:r>
        <w:t xml:space="preserve">Proof of its loss is difficult — as difficult, perhaps, as proof of loss would have been if the sugar crop had been delivered late because shipping was missing. Whatever the loss, the parties had promised each other that $17,000 per day was a reasonable measure. The court must decline to substitute the requirements of judicial proof for the parties' own conclusion.  The Moku Pahu, available on </w:t>
      </w:r>
      <w:smartTag w:uri="urn:schemas-microsoft-com:office:smarttags" w:element="date">
        <w:smartTagPr>
          <w:attr w:name="Year" w:val="1981"/>
          <w:attr w:name="Day" w:val="30"/>
          <w:attr w:name="Month" w:val="6"/>
          <w:attr w:name="ls" w:val="trans"/>
        </w:smartTagPr>
        <w:r>
          <w:t>June 30, 1981</w:t>
        </w:r>
      </w:smartTag>
      <w:r>
        <w:t>, was a great prize, capable of multiple employments and enlarging the uses of the entire C and H fleet. When sophisticated parties with bargaining parity have agreed what lack of this prize would mean, and it is now difficult to measure what the lack did mean, the court will uphold the parties' bargain.  C and H is entitled to keep the liquidated damages of $3,298,000 it has already received and to receive additional liquidated damages of $1,105,000 with interest thereon.</w:t>
      </w:r>
    </w:p>
    <w:p w:rsidR="00032A5B" w:rsidRDefault="00032A5B" w:rsidP="00032A5B">
      <w:pPr>
        <w:spacing w:before="120"/>
      </w:pPr>
      <w:r>
        <w:t>AFFIRMED.</w:t>
      </w:r>
    </w:p>
    <w:p w:rsidR="00032A5B" w:rsidRPr="008E7936" w:rsidRDefault="00032A5B" w:rsidP="00032A5B">
      <w:pPr>
        <w:ind w:left="1200" w:right="1200"/>
        <w:jc w:val="center"/>
        <w:rPr>
          <w:bCs/>
        </w:rPr>
      </w:pPr>
      <w:r>
        <w:br w:type="page"/>
      </w:r>
      <w:r w:rsidRPr="008E7936">
        <w:rPr>
          <w:bCs/>
        </w:rPr>
        <w:lastRenderedPageBreak/>
        <w:t>MARGUERITE A. O'NEILL, Plaintiff-Appellee, v. GALLANT INSURANCE COMPANY, Defendant-Appellant.</w:t>
      </w:r>
    </w:p>
    <w:p w:rsidR="00032A5B" w:rsidRPr="008E7936" w:rsidRDefault="00032A5B" w:rsidP="00032A5B">
      <w:pPr>
        <w:rPr>
          <w:bCs/>
        </w:rPr>
      </w:pPr>
    </w:p>
    <w:p w:rsidR="00032A5B" w:rsidRPr="008E7936" w:rsidRDefault="00032A5B" w:rsidP="00032A5B">
      <w:pPr>
        <w:ind w:left="1200" w:right="1200"/>
        <w:jc w:val="center"/>
        <w:rPr>
          <w:bCs/>
        </w:rPr>
      </w:pPr>
      <w:r w:rsidRPr="008E7936">
        <w:rPr>
          <w:bCs/>
        </w:rPr>
        <w:t xml:space="preserve">Appellate Court </w:t>
      </w:r>
      <w:r>
        <w:rPr>
          <w:bCs/>
        </w:rPr>
        <w:t>o</w:t>
      </w:r>
      <w:r w:rsidRPr="008E7936">
        <w:rPr>
          <w:bCs/>
        </w:rPr>
        <w:t>f Illinois, Fifth District</w:t>
      </w:r>
    </w:p>
    <w:p w:rsidR="00032A5B" w:rsidRPr="008E7936" w:rsidRDefault="00032A5B" w:rsidP="00032A5B">
      <w:pPr>
        <w:rPr>
          <w:bCs/>
        </w:rPr>
      </w:pPr>
    </w:p>
    <w:p w:rsidR="00032A5B" w:rsidRPr="008E7936" w:rsidRDefault="00032A5B" w:rsidP="00032A5B">
      <w:pPr>
        <w:ind w:left="1200" w:right="1200"/>
        <w:jc w:val="center"/>
        <w:rPr>
          <w:bCs/>
        </w:rPr>
      </w:pPr>
      <w:r w:rsidRPr="008E7936">
        <w:rPr>
          <w:bCs/>
        </w:rPr>
        <w:t xml:space="preserve">329 </w:t>
      </w:r>
      <w:smartTag w:uri="urn:schemas-microsoft-com:office:smarttags" w:element="State">
        <w:smartTag w:uri="urn:schemas-microsoft-com:office:smarttags" w:element="place">
          <w:r w:rsidRPr="008E7936">
            <w:rPr>
              <w:bCs/>
            </w:rPr>
            <w:t>Ill.</w:t>
          </w:r>
        </w:smartTag>
      </w:smartTag>
      <w:r w:rsidRPr="008E7936">
        <w:rPr>
          <w:bCs/>
        </w:rPr>
        <w:t xml:space="preserve"> App. 3d 1166; 769 N.E.2d 100</w:t>
      </w:r>
    </w:p>
    <w:p w:rsidR="00032A5B" w:rsidRPr="008E7936" w:rsidRDefault="00032A5B" w:rsidP="00032A5B">
      <w:pPr>
        <w:rPr>
          <w:bCs/>
        </w:rPr>
      </w:pPr>
    </w:p>
    <w:p w:rsidR="00032A5B" w:rsidRPr="008E7936" w:rsidRDefault="00032A5B" w:rsidP="00032A5B">
      <w:pPr>
        <w:ind w:left="1200" w:right="1200"/>
        <w:jc w:val="center"/>
        <w:rPr>
          <w:bCs/>
        </w:rPr>
      </w:pPr>
      <w:smartTag w:uri="urn:schemas-microsoft-com:office:smarttags" w:element="date">
        <w:smartTagPr>
          <w:attr w:name="Year" w:val="2002"/>
          <w:attr w:name="Day" w:val="23"/>
          <w:attr w:name="Month" w:val="4"/>
          <w:attr w:name="ls" w:val="trans"/>
        </w:smartTagPr>
        <w:r w:rsidRPr="008E7936">
          <w:rPr>
            <w:bCs/>
          </w:rPr>
          <w:t>April 23, 2002</w:t>
        </w:r>
      </w:smartTag>
      <w:r w:rsidRPr="008E7936">
        <w:rPr>
          <w:bCs/>
        </w:rPr>
        <w:t xml:space="preserve">, Filed </w:t>
      </w:r>
    </w:p>
    <w:p w:rsidR="00032A5B" w:rsidRDefault="00032A5B" w:rsidP="00032A5B">
      <w:pPr>
        <w:rPr>
          <w:bCs/>
        </w:rPr>
      </w:pPr>
    </w:p>
    <w:p w:rsidR="00032A5B" w:rsidRDefault="00032A5B" w:rsidP="00032A5B">
      <w:r w:rsidRPr="008E7936">
        <w:rPr>
          <w:bCs/>
        </w:rPr>
        <w:t xml:space="preserve">JUDGES: </w:t>
      </w:r>
      <w:r>
        <w:rPr>
          <w:bCs/>
        </w:rPr>
        <w:t xml:space="preserve">  </w:t>
      </w:r>
      <w:r>
        <w:t xml:space="preserve">Honorable Clyde L. Kuehn, Justice, delivered the opinion of the court. Honorable Philip J. Rarick, J., and Honorable Thomas M. Welch, J., Concur.  </w:t>
      </w:r>
    </w:p>
    <w:p w:rsidR="00032A5B" w:rsidRDefault="00032A5B" w:rsidP="00032A5B">
      <w:pPr>
        <w:spacing w:before="120"/>
      </w:pPr>
    </w:p>
    <w:p w:rsidR="00032A5B" w:rsidRDefault="00032A5B" w:rsidP="00032A5B">
      <w:pPr>
        <w:spacing w:before="120"/>
      </w:pPr>
      <w:r>
        <w:t>In this case, an insurance company took its small stake in the outcome of a personal-injury claim, $20,000 worth of liability coverage purchased by one of its customers, and transformed it into a multimillion-dollar judgment against the carrier. For reasons that are not entirely clear, John Moss, executive vice president of Warrior Insurance Group, the person primarily responsible for this action, bypassed a chance to settle an insured's obvious liability for catastrophic personal injuries, and to do so within the insurance policy limits. His decision turned $20,000 worth of contractual duty into a $3,010,063 judgment for a bad-faith refusal to settle within the policy limits.</w:t>
      </w:r>
    </w:p>
    <w:p w:rsidR="00032A5B" w:rsidRDefault="00032A5B" w:rsidP="00032A5B">
      <w:pPr>
        <w:spacing w:before="120"/>
      </w:pPr>
      <w:r>
        <w:t xml:space="preserve">This remarkable wizardry had its origins on </w:t>
      </w:r>
      <w:smartTag w:uri="urn:schemas-microsoft-com:office:smarttags" w:element="date">
        <w:smartTagPr>
          <w:attr w:name="Year" w:val="1996"/>
          <w:attr w:name="Day" w:val="31"/>
          <w:attr w:name="Month" w:val="10"/>
          <w:attr w:name="ls" w:val="trans"/>
        </w:smartTagPr>
        <w:r>
          <w:t>October 31, 1996</w:t>
        </w:r>
      </w:smartTag>
      <w:r>
        <w:t xml:space="preserve">. On that Halloween day, a Gallant Insurance Company customer named Christine Narvaez drove her insured automobile onto the parking lot of a busy </w:t>
      </w:r>
      <w:smartTag w:uri="urn:schemas-microsoft-com:office:smarttags" w:element="City">
        <w:smartTag w:uri="urn:schemas-microsoft-com:office:smarttags" w:element="place">
          <w:r>
            <w:t>Granite City</w:t>
          </w:r>
        </w:smartTag>
      </w:smartTag>
      <w:r>
        <w:t xml:space="preserve"> supermarket. Christine had her two-year-old  grandchild with her. The youngster was riding, unconstrained, in a booster seat. Christine saw a friend and decided to stop for a brief chat. She parked and exited the car, leaving the keys in the ignition and the motor running. Thus, circumstances awaited the mischief that her unattended two-year-old grandchild could glean from being left alone in a car with its engine running. </w:t>
      </w:r>
    </w:p>
    <w:p w:rsidR="00032A5B" w:rsidRDefault="00032A5B" w:rsidP="00032A5B">
      <w:pPr>
        <w:spacing w:before="120"/>
      </w:pPr>
      <w:r>
        <w:t>Gallant Insurance Company's insured played quite a Halloween trick on shoppers in the vicinity of her car. The trick treated Marguerite O'Neill to lifelong confinement in a nursing home. It only took a moment for Christine's little nipper to crawl behind the wheel, slip the car into gear, and set it into motion. As the car rolled out of control, it collided with two other cars and two pedestrians. Mrs. O'Neill was the most severely damaged victim of Christine's negligence.</w:t>
      </w:r>
    </w:p>
    <w:p w:rsidR="00032A5B" w:rsidRDefault="00032A5B" w:rsidP="00032A5B">
      <w:pPr>
        <w:spacing w:before="120"/>
      </w:pPr>
      <w:r>
        <w:t xml:space="preserve">Mrs. O'Neill was in her eighties and could not physically evade the slow-moving car as it approached her. The insured's vehicle pinned her between it and another car and slowly crushed her trapped body. Mrs. O'Neill was pried loose and airlifted to </w:t>
      </w:r>
      <w:smartTag w:uri="urn:schemas-microsoft-com:office:smarttags" w:element="place">
        <w:smartTag w:uri="urn:schemas-microsoft-com:office:smarttags" w:element="PlaceName">
          <w:r>
            <w:t>St. Louis</w:t>
          </w:r>
        </w:smartTag>
        <w:r>
          <w:t xml:space="preserve"> </w:t>
        </w:r>
        <w:smartTag w:uri="urn:schemas-microsoft-com:office:smarttags" w:element="PlaceType">
          <w:r>
            <w:t>University</w:t>
          </w:r>
        </w:smartTag>
        <w:r>
          <w:t xml:space="preserve"> </w:t>
        </w:r>
        <w:smartTag w:uri="urn:schemas-microsoft-com:office:smarttags" w:element="PlaceType">
          <w:r>
            <w:t>Hospital</w:t>
          </w:r>
        </w:smartTag>
        <w:r>
          <w:t xml:space="preserve"> </w:t>
        </w:r>
        <w:smartTag w:uri="urn:schemas-microsoft-com:office:smarttags" w:element="PlaceName">
          <w:r>
            <w:t>Trauma</w:t>
          </w:r>
        </w:smartTag>
        <w:r>
          <w:t xml:space="preserve"> </w:t>
        </w:r>
        <w:smartTag w:uri="urn:schemas-microsoft-com:office:smarttags" w:element="PlaceType">
          <w:r>
            <w:t>Center</w:t>
          </w:r>
        </w:smartTag>
      </w:smartTag>
      <w:r>
        <w:t xml:space="preserve">, where she spent the next month in the intensive care unit. Her body suffered a crushed hip, a broken arm, four cracked ribs, and two fractured fingers. She lost more than 40% of her blood supply as a result of internal bleeding. The blood loss triggered respiratory shock. Mrs. O'Neill was given a tracheotomy and was placed on a respirator for 24 days. </w:t>
      </w:r>
    </w:p>
    <w:p w:rsidR="00032A5B" w:rsidRDefault="00032A5B" w:rsidP="00032A5B">
      <w:pPr>
        <w:spacing w:before="120"/>
      </w:pPr>
      <w:r>
        <w:t>The accident had lasting consequences. It deprived Mrs. O'Neill of the ability to live life independently of others. It placed her into a nursing home, where she remains to this day.</w:t>
      </w:r>
    </w:p>
    <w:p w:rsidR="00032A5B" w:rsidRDefault="00032A5B" w:rsidP="00032A5B">
      <w:pPr>
        <w:spacing w:before="120"/>
      </w:pPr>
      <w:r>
        <w:t>Gallant Insurance Company (Gallant) insured Christine with the statutory minimum amount of coverage against liability arising out of the operation of her car. Consequently, there was only$20,000 worth of coverage to address the catastrophic damages that Christine's negligence wrought. Not including her other damages, Mrs. O'Neill's medical bills amounted to $105,000.</w:t>
      </w:r>
    </w:p>
    <w:p w:rsidR="00032A5B" w:rsidRDefault="00032A5B" w:rsidP="00032A5B">
      <w:pPr>
        <w:spacing w:before="120"/>
      </w:pPr>
      <w:r>
        <w:t xml:space="preserve">Mrs. O'Neill's attorney demanded the policy limits in settlement of her claim. He offered a </w:t>
      </w:r>
      <w:r>
        <w:rPr>
          <w:i/>
          <w:iCs/>
        </w:rPr>
        <w:t>complete release from liability for Christine</w:t>
      </w:r>
      <w:r>
        <w:t xml:space="preserve">, provided that Gallant would promptly tender its check for Christine's $20,000 liability coverage. Gallant was given 30 days to decide. Confronted with a case of obvious liability with potential damages far in excess of the policy limits, </w:t>
      </w:r>
      <w:r>
        <w:rPr>
          <w:i/>
          <w:iCs/>
        </w:rPr>
        <w:t>Gallant did not dignify the demand with a response</w:t>
      </w:r>
      <w:r>
        <w:t>. The 30 days passed and Gallant remained silent. It did not try to negotiate. It did not attempt a counteroffer. It did not even tell Christine that the elderly lady that she hurt was willing to forego a personal judgment for more than the amount with which Christine was insured. Gallant simply ignored the offer to settle, and a window of opportunity to protect its customer from an excess judgment closed. Moss bypassed the chance to authorize the payment of the coverage that Christine had purchased from Gallant. As a result of his decision, Christine suffered a large excess judgment. Gallant's refusal to even respond to an invitation for settlement occurred under baffling circumstances.</w:t>
      </w:r>
    </w:p>
    <w:p w:rsidR="00032A5B" w:rsidRDefault="00032A5B" w:rsidP="00032A5B">
      <w:pPr>
        <w:spacing w:before="120"/>
      </w:pPr>
      <w:r>
        <w:t xml:space="preserve">Gallant's initial adjuster noted in the claims diary that Christine was clearly negligent and that Gallant was responsible for the damages that she caused. His opinion was reviewed by an immediate supervisor and a claims director, and both concurred in his liability evaluation. Based upon that opinion, Gallant paid the two property-damage claims that stemmed from the accident. When Mrs. O'Neill registered her claim through a lawyer, the claim was forwarded to a more seasoned </w:t>
      </w:r>
      <w:r>
        <w:lastRenderedPageBreak/>
        <w:t xml:space="preserve">adjuster. She examined her younger counterpart's work, conducted her own independent investigation of the claim, and </w:t>
      </w:r>
      <w:r>
        <w:rPr>
          <w:i/>
          <w:iCs/>
        </w:rPr>
        <w:t>before a demand was even made</w:t>
      </w:r>
      <w:r>
        <w:t>, recommended the payment of the $20,000 policy limits. A claims manager reviewed this recommendation. She wrote to Moss and conveyed her opinion that the policy limits should be tendered.</w:t>
      </w:r>
    </w:p>
    <w:p w:rsidR="00032A5B" w:rsidRDefault="00032A5B" w:rsidP="00032A5B">
      <w:pPr>
        <w:spacing w:before="120"/>
      </w:pPr>
      <w:r>
        <w:t xml:space="preserve">Gallant did not have a claims department. </w:t>
      </w:r>
      <w:r>
        <w:rPr>
          <w:i/>
          <w:iCs/>
        </w:rPr>
        <w:t>Only Moss . . . could authorize any Gallant settlement payment in excess of $15,000</w:t>
      </w:r>
      <w:r>
        <w:t>.</w:t>
      </w:r>
    </w:p>
    <w:p w:rsidR="00032A5B" w:rsidRDefault="00032A5B" w:rsidP="00032A5B">
      <w:pPr>
        <w:spacing w:before="120"/>
      </w:pPr>
      <w:r>
        <w:t xml:space="preserve">Warrior's claims manager, someone with a decidedly conservative approach to the settlement of automobile liability claims, wrote and advised Moss that the tender of the policy limits was a necessary step "in order to make sure that the policyholder's interests were treated with equal weight as the company's interests." </w:t>
      </w:r>
    </w:p>
    <w:p w:rsidR="00032A5B" w:rsidRDefault="00032A5B" w:rsidP="00032A5B">
      <w:pPr>
        <w:spacing w:before="120"/>
      </w:pPr>
      <w:r>
        <w:t xml:space="preserve">Moss also heard from the lawyers Gallant hired to defend against O'Neill's lawsuit. . .   Two weeks prior to the settlement demand's expiration, those lawyers wrote to Moss with an evaluation and a recommendation. Christine's lawyers told him that </w:t>
      </w:r>
      <w:r>
        <w:rPr>
          <w:i/>
          <w:iCs/>
        </w:rPr>
        <w:t>liability was clear</w:t>
      </w:r>
      <w:r>
        <w:t xml:space="preserve">.  They also told him that the </w:t>
      </w:r>
      <w:r>
        <w:rPr>
          <w:i/>
          <w:iCs/>
        </w:rPr>
        <w:t>verdict potential</w:t>
      </w:r>
      <w:r>
        <w:t xml:space="preserve"> on that obvious liability rested within a dollar range </w:t>
      </w:r>
      <w:r>
        <w:rPr>
          <w:i/>
          <w:iCs/>
        </w:rPr>
        <w:t>15 to 30 times the amount of coverage</w:t>
      </w:r>
      <w:r>
        <w:t>. Two weeks before the chance to settle within the policy limits was forever lost, Christine's lawyers urged Moss to tender those limits. In their professional judgment, it was clearly the prudent thing to do.</w:t>
      </w:r>
    </w:p>
    <w:p w:rsidR="00032A5B" w:rsidRDefault="00032A5B" w:rsidP="00032A5B">
      <w:pPr>
        <w:spacing w:before="120"/>
      </w:pPr>
      <w:r>
        <w:rPr>
          <w:i/>
          <w:iCs/>
        </w:rPr>
        <w:t>Moss decided to reject everyone's advice</w:t>
      </w:r>
      <w:r>
        <w:t>. His decision to disregard the adjusters' opinions, the director's opinion, his claims manager's opinion, and Christine's lawyers' opinions occurred without explanation or notation in the claims diary. . . .</w:t>
      </w:r>
    </w:p>
    <w:p w:rsidR="00032A5B" w:rsidRDefault="00032A5B" w:rsidP="00032A5B">
      <w:pPr>
        <w:spacing w:before="120"/>
      </w:pPr>
      <w:r>
        <w:t>Almost a year after the demand to settle for the policy limits had expired, and only a few days before the trial on the underlying personal-injury action was to begin, Moss decided to authorize an offer of $20,000 in order to settle the case. By that time, Mrs. O'Neill had no interest in accepting such an offer. She had incurred more than $3,000 in costs readying the case for a trial, and there was no offer to defray them. Mrs. O'Neill's economic losses as a result of the accident had nearly doubled since the demand expired, and her contingency-fee structure had also increased. On the eve of trial, Mrs. O'Neill was intent on seeing what kind of an award a jury would return. Hopefully, Christine would personally satisfy the amount by which the jury's award might exceed Christine's insurance coverage.</w:t>
      </w:r>
    </w:p>
    <w:p w:rsidR="00032A5B" w:rsidRDefault="00032A5B" w:rsidP="00032A5B">
      <w:pPr>
        <w:spacing w:before="120"/>
      </w:pPr>
      <w:r>
        <w:t>Moss preferred a last-minute offer of the policy limits to a jury test of his good-faith belief that liability was lacking. Unfortunately, he made the decision to forego his belief too late. The chance to obtain a release in return for $20,000 had come and gone.</w:t>
      </w:r>
    </w:p>
    <w:p w:rsidR="00032A5B" w:rsidRDefault="00032A5B" w:rsidP="00032A5B">
      <w:pPr>
        <w:spacing w:before="120"/>
      </w:pPr>
      <w:r>
        <w:t>A few days after Mrs. O'Neill's refusal of Gallant's offer, a jury found for her and against Christine and awarded $731,063 in damages. The verdict came as no surprise to anyone in Gallant who was ever entrusted with the task of evaluating the claim. We are not even sure that it surprised Moss. Gallant's lawyers asked him to send a $20,000 company check, and he complied, before the verdict was even returned. Christine owed Mrs. O'Neill $711,063. The only reason that she owed it was her carrier's decision not to meet the demand for the policy limits. Moss's good-faith belief that there was no liability on Christine's part proved to be misplaced. The mistake resulted in Christine's financial ruin.</w:t>
      </w:r>
    </w:p>
    <w:p w:rsidR="00032A5B" w:rsidRDefault="00032A5B" w:rsidP="00032A5B">
      <w:pPr>
        <w:spacing w:before="120"/>
      </w:pPr>
      <w:r>
        <w:t>A supplementary action was commenced in order to enforce the judgment against Christine. Her potential claim against Gallant for its failure to settle Mrs. O'Neill's claim within the policy limits was assigned to Mrs. O'Neill, who then brought this lawsuit against Gallant. The case was tried to a jury. The jury found in Mrs. O'Neill's favor and awarded actual damages in the sum of $710,063 and punitive damages in the sum of $2.3 million. Interest was also awarded.</w:t>
      </w:r>
    </w:p>
    <w:p w:rsidR="00032A5B" w:rsidRDefault="00032A5B" w:rsidP="00032A5B">
      <w:pPr>
        <w:spacing w:before="120"/>
      </w:pPr>
      <w:r>
        <w:t xml:space="preserve">A significant part of the evidence presented against Gallant consisted of the pattern of conduct engaged in by Gallant over the five years leading up to this bad-faith action. Mrs. O'Neill presented 44 known cases where Gallant's </w:t>
      </w:r>
      <w:smartTag w:uri="urn:schemas-microsoft-com:office:smarttags" w:element="State">
        <w:smartTag w:uri="urn:schemas-microsoft-com:office:smarttags" w:element="place">
          <w:r>
            <w:t>Illinois</w:t>
          </w:r>
        </w:smartTag>
      </w:smartTag>
      <w:r>
        <w:t xml:space="preserve"> customers suffered excess judgments after Gallant passed up the opportunity to settle within the policy limits. Most of the excess judgments occurred on John Moss's watch. The dollar amount by which the excess judgments exceeded policy limits totaled </w:t>
      </w:r>
      <w:r>
        <w:rPr>
          <w:i/>
          <w:iCs/>
        </w:rPr>
        <w:t>$10,849,313</w:t>
      </w:r>
      <w:r>
        <w:t xml:space="preserve">. This staggering total was accumulated through jury awards on automobile accident cases, a class of personal injury generally known for miserly jury verdicts.  All but $449,313 of this amount was awarded </w:t>
      </w:r>
      <w:r>
        <w:rPr>
          <w:i/>
          <w:iCs/>
        </w:rPr>
        <w:t>after Moss took over</w:t>
      </w:r>
      <w:r>
        <w:t xml:space="preserve"> control of the settlement process in June of 1997.</w:t>
      </w:r>
    </w:p>
    <w:p w:rsidR="00032A5B" w:rsidRDefault="00032A5B" w:rsidP="00032A5B">
      <w:pPr>
        <w:spacing w:before="120"/>
      </w:pPr>
      <w:r>
        <w:t xml:space="preserve">Gallant argues that the jury's verdict, based upon the finding that Gallant acted in bad faith in its handling of Mrs. O'Neill's claim, is contrary to the manifest weight of the evidence.  This is a question that we review with deference to the jury. Its findings will not be overturned unless they are "manifestly erroneous." </w:t>
      </w:r>
    </w:p>
    <w:p w:rsidR="00032A5B" w:rsidRDefault="00032A5B" w:rsidP="00032A5B">
      <w:pPr>
        <w:spacing w:before="120"/>
      </w:pPr>
      <w:r>
        <w:t>Where an insurer is pursued for its refusal to settle a claim, "bad faith" lies in an insurer's failure to give at least equal consideration to the insured's interests when the insurer arrives at a decision on whether to settle the claim. This is precisely the standard set forth by Donna Hedl, Warrior's claims manager, when she wrote Moss and gave her opinion of how Mrs. O'Neill's claim should be handled. She wrote that the policy limits should be tendered "in order to make sure that the policyholder's interests were treated with equal weight as the company's interests." Her admission, standing alone, provides ample evidence of bad faith. However, there was other evidence of bad faith to support the jury's verdict. . . .</w:t>
      </w:r>
    </w:p>
    <w:p w:rsidR="00032A5B" w:rsidRDefault="00032A5B" w:rsidP="00032A5B">
      <w:pPr>
        <w:spacing w:before="120"/>
      </w:pPr>
      <w:r>
        <w:lastRenderedPageBreak/>
        <w:t>Gallant knew from the lawyers it hired to protect Christine's interests that the verdict potential was, at a minimum, 15 times the amount of insurance protection. The medical bills alone were more than five times that protection. The decision to reject the chance to settle a claim of this magnitude signals bad faith. . . .</w:t>
      </w:r>
    </w:p>
    <w:p w:rsidR="00032A5B" w:rsidRDefault="00032A5B" w:rsidP="00032A5B">
      <w:pPr>
        <w:spacing w:before="120"/>
      </w:pPr>
      <w:r>
        <w:t>The jury's finding of bad faith was not against the manifest weight of the evidence.</w:t>
      </w:r>
    </w:p>
    <w:p w:rsidR="00032A5B" w:rsidRDefault="00032A5B" w:rsidP="00032A5B">
      <w:pPr>
        <w:spacing w:before="120"/>
      </w:pPr>
      <w:r>
        <w:t xml:space="preserve">We turn to the question of whether punitive damages can be awarded for an insurance company's bad-faith refusal to settle. We hold that they can. . . . </w:t>
      </w:r>
    </w:p>
    <w:p w:rsidR="00032A5B" w:rsidRDefault="00032A5B" w:rsidP="00032A5B">
      <w:pPr>
        <w:spacing w:before="120"/>
      </w:pPr>
      <w:r>
        <w:t xml:space="preserve">Although punitive damages are not the law's favorite, </w:t>
      </w:r>
      <w:smartTag w:uri="urn:schemas-microsoft-com:office:smarttags" w:element="State">
        <w:smartTag w:uri="urn:schemas-microsoft-com:office:smarttags" w:element="place">
          <w:r>
            <w:t>Illinois</w:t>
          </w:r>
        </w:smartTag>
      </w:smartTag>
      <w:r>
        <w:t xml:space="preserve"> has traditionally authorized the recovery of punitive damages in tort cases involving intentional misconduct or a breach of fiduciary duty. . . . </w:t>
      </w:r>
    </w:p>
    <w:p w:rsidR="00032A5B" w:rsidRDefault="00032A5B" w:rsidP="00032A5B">
      <w:pPr>
        <w:spacing w:before="120"/>
      </w:pPr>
      <w:r>
        <w:t xml:space="preserve">In a case like this one, we think that punitive damages for a bad-faith refusal to settle are appropriate and warranted. After all, punitive damages are designed to deter misconduct. Hopefully, the availability of punitive damages can provide some degree of deterrent against unscrupulous insurers who would otherwise take advantage of customers and abuse their fiduciary relationship in order to promote their own economic self-interest. Gallant needed to be told through the award of punitive damages that it had to stop its common practice of ignoring policy-limit demands in serious cases where liability was clear-cut. It had to be punished for a pattern of misconduct that exposed its policyholders to more than $10 million in excess judgments. . . . </w:t>
      </w:r>
    </w:p>
    <w:p w:rsidR="00032A5B" w:rsidRDefault="00032A5B" w:rsidP="00032A5B">
      <w:pPr>
        <w:spacing w:before="120"/>
      </w:pPr>
      <w:r>
        <w:t xml:space="preserve">Suffice it to say, there was ample evidence from which a jury could reasonably infer that Gallant </w:t>
      </w:r>
      <w:r>
        <w:rPr>
          <w:i/>
          <w:iCs/>
        </w:rPr>
        <w:t>deliberately</w:t>
      </w:r>
      <w:r>
        <w:t xml:space="preserve"> chose to gamble with Christine's financial security, in the hope of </w:t>
      </w:r>
      <w:r>
        <w:rPr>
          <w:i/>
          <w:iCs/>
        </w:rPr>
        <w:t>merely delaying the payment of minimal policy limits</w:t>
      </w:r>
      <w:r>
        <w:t xml:space="preserve">. It would have been quite reasonable for jurors to conclude that Gallant threw Christine's financial future to the wind for the small amount of revenue it could derive from its $20,000 before a judgment could be rendered. . . . </w:t>
      </w:r>
    </w:p>
    <w:p w:rsidR="00032A5B" w:rsidRDefault="00032A5B" w:rsidP="00032A5B">
      <w:pPr>
        <w:spacing w:before="120"/>
      </w:pPr>
      <w:r>
        <w:t xml:space="preserve">We find that an award of punitive damages is supported by the evidence. The jury's award is not manifestly erroneous. </w:t>
      </w:r>
    </w:p>
    <w:p w:rsidR="00032A5B" w:rsidRDefault="00032A5B" w:rsidP="00032A5B">
      <w:pPr>
        <w:spacing w:before="120"/>
      </w:pPr>
      <w:r>
        <w:t>For the reasons stated, we affirm.</w:t>
      </w:r>
    </w:p>
    <w:p w:rsidR="00032A5B" w:rsidRDefault="00032A5B" w:rsidP="00032A5B">
      <w:pPr>
        <w:spacing w:before="120"/>
      </w:pPr>
      <w:r>
        <w:t>Affirmed.</w:t>
      </w:r>
    </w:p>
    <w:p w:rsidR="00032A5B" w:rsidRDefault="00032A5B" w:rsidP="00032A5B">
      <w:pPr>
        <w:spacing w:before="120"/>
      </w:pPr>
    </w:p>
    <w:p w:rsidR="00032A5B" w:rsidRDefault="00032A5B" w:rsidP="00032A5B">
      <w:pPr>
        <w:spacing w:before="120"/>
      </w:pPr>
      <w:r>
        <w:t>RARICK and WELCH, JJ., concur.</w:t>
      </w:r>
    </w:p>
    <w:p w:rsidR="00032A5B" w:rsidRDefault="00032A5B" w:rsidP="00032A5B">
      <w:pPr>
        <w:spacing w:before="120"/>
      </w:pPr>
    </w:p>
    <w:p w:rsidR="00032A5B" w:rsidRPr="00600348" w:rsidRDefault="00032A5B" w:rsidP="00032A5B">
      <w:pPr>
        <w:pStyle w:val="loose"/>
        <w:ind w:left="225" w:right="225"/>
        <w:jc w:val="center"/>
        <w:rPr>
          <w:sz w:val="20"/>
          <w:szCs w:val="20"/>
        </w:rPr>
      </w:pPr>
      <w:bookmarkStart w:id="42" w:name="DOC_ID_0"/>
      <w:bookmarkStart w:id="43" w:name="DOC_ID_0_0"/>
      <w:bookmarkEnd w:id="42"/>
      <w:bookmarkEnd w:id="43"/>
      <w:r>
        <w:rPr>
          <w:sz w:val="20"/>
          <w:szCs w:val="20"/>
        </w:rPr>
        <w:br w:type="page"/>
      </w:r>
      <w:r w:rsidRPr="00600348">
        <w:rPr>
          <w:sz w:val="20"/>
          <w:szCs w:val="20"/>
        </w:rPr>
        <w:lastRenderedPageBreak/>
        <w:t>Hadley v. Baxendale</w:t>
      </w:r>
    </w:p>
    <w:p w:rsidR="00032A5B" w:rsidRDefault="00032A5B" w:rsidP="00032A5B">
      <w:pPr>
        <w:jc w:val="center"/>
      </w:pPr>
      <w:r>
        <w:t>(English case)</w:t>
      </w:r>
    </w:p>
    <w:p w:rsidR="00032A5B" w:rsidRDefault="00032A5B" w:rsidP="00032A5B">
      <w:pPr>
        <w:jc w:val="center"/>
      </w:pPr>
    </w:p>
    <w:p w:rsidR="00032A5B" w:rsidRDefault="00032A5B" w:rsidP="00032A5B">
      <w:pPr>
        <w:jc w:val="center"/>
        <w:rPr>
          <w:b/>
        </w:rPr>
      </w:pPr>
      <w:r>
        <w:t>9 Exch. 141 (1854)</w:t>
      </w:r>
    </w:p>
    <w:p w:rsidR="00032A5B" w:rsidRDefault="00032A5B" w:rsidP="00032A5B">
      <w:pPr>
        <w:jc w:val="both"/>
      </w:pPr>
    </w:p>
    <w:p w:rsidR="00032A5B" w:rsidRDefault="00032A5B" w:rsidP="00032A5B">
      <w:pPr>
        <w:jc w:val="both"/>
      </w:pPr>
    </w:p>
    <w:p w:rsidR="00032A5B" w:rsidRDefault="00032A5B" w:rsidP="00032A5B">
      <w:pPr>
        <w:jc w:val="both"/>
      </w:pPr>
      <w:r>
        <w:t>J. CROMPTON</w:t>
      </w:r>
    </w:p>
    <w:p w:rsidR="00032A5B" w:rsidRDefault="00032A5B" w:rsidP="00032A5B">
      <w:pPr>
        <w:jc w:val="both"/>
      </w:pPr>
    </w:p>
    <w:p w:rsidR="00032A5B" w:rsidRDefault="00032A5B" w:rsidP="00032A5B">
      <w:pPr>
        <w:jc w:val="both"/>
      </w:pPr>
      <w:r>
        <w:t xml:space="preserve">At the trial before…it appeared that the plaintiffs carried on an extensive business as millers at </w:t>
      </w:r>
      <w:smartTag w:uri="urn:schemas-microsoft-com:office:smarttags" w:element="City">
        <w:smartTag w:uri="urn:schemas-microsoft-com:office:smarttags" w:element="place">
          <w:r>
            <w:t>Gloucester</w:t>
          </w:r>
        </w:smartTag>
      </w:smartTag>
      <w:r>
        <w:t>; and that, on the 11</w:t>
      </w:r>
      <w:r>
        <w:rPr>
          <w:vertAlign w:val="superscript"/>
        </w:rPr>
        <w:t>th</w:t>
      </w:r>
      <w:r>
        <w:t xml:space="preserve"> of May, their mill was stopped by a breakage of the crank shaft by which the mill was worked.  The steamengine was manufactured by Messrs. Joyce &amp; Co., the engineers, at </w:t>
      </w:r>
      <w:smartTag w:uri="urn:schemas-microsoft-com:office:smarttags" w:element="City">
        <w:smartTag w:uri="urn:schemas-microsoft-com:office:smarttags" w:element="place">
          <w:r>
            <w:t>Greenwich</w:t>
          </w:r>
        </w:smartTag>
      </w:smartTag>
      <w:r>
        <w:t xml:space="preserve">, and it became necessary to send the shaft as a pattern for a new one to </w:t>
      </w:r>
      <w:smartTag w:uri="urn:schemas-microsoft-com:office:smarttags" w:element="City">
        <w:smartTag w:uri="urn:schemas-microsoft-com:office:smarttags" w:element="place">
          <w:r>
            <w:t>Greenwich</w:t>
          </w:r>
        </w:smartTag>
      </w:smartTag>
      <w:r>
        <w:t>.  The facture was discovered on the 12</w:t>
      </w:r>
      <w:r>
        <w:rPr>
          <w:vertAlign w:val="superscript"/>
        </w:rPr>
        <w:t>th</w:t>
      </w:r>
      <w:r>
        <w:t>, and on the 13</w:t>
      </w:r>
      <w:r>
        <w:rPr>
          <w:vertAlign w:val="superscript"/>
        </w:rPr>
        <w:t>th</w:t>
      </w:r>
      <w:r>
        <w:t xml:space="preserve"> the plaintiffs sent one of their servants to the office of the defendants, who are well-known carriers trading under the name of Pickford &amp; Co., for the purpose of having the shaft carried to </w:t>
      </w:r>
      <w:smartTag w:uri="urn:schemas-microsoft-com:office:smarttags" w:element="City">
        <w:smartTag w:uri="urn:schemas-microsoft-com:office:smarttags" w:element="place">
          <w:r>
            <w:t>Greenwich</w:t>
          </w:r>
        </w:smartTag>
      </w:smartTag>
      <w:r>
        <w:t xml:space="preserve">.  The plaintiffs' servant told the clerk that the mill was stopped, and that the shaft must be sent immediately; and in answer to the inquiry when the shaft would be taken, the answer was, that if it was sent up by </w:t>
      </w:r>
      <w:smartTag w:uri="urn:schemas-microsoft-com:office:smarttags" w:element="time">
        <w:smartTagPr>
          <w:attr w:name="Hour" w:val="12"/>
          <w:attr w:name="Minute" w:val="0"/>
        </w:smartTagPr>
        <w:r>
          <w:t>twelve o'clock</w:t>
        </w:r>
      </w:smartTag>
      <w:r>
        <w:t xml:space="preserve"> any day, it would be delivered at </w:t>
      </w:r>
      <w:smartTag w:uri="urn:schemas-microsoft-com:office:smarttags" w:element="City">
        <w:smartTag w:uri="urn:schemas-microsoft-com:office:smarttags" w:element="place">
          <w:r>
            <w:t>Greenwich</w:t>
          </w:r>
        </w:smartTag>
      </w:smartTag>
      <w:r>
        <w:t xml:space="preserve"> on the following day. On the following day the shaft was taken by the defendants before </w:t>
      </w:r>
      <w:smartTag w:uri="urn:schemas-microsoft-com:office:smarttags" w:element="time">
        <w:smartTagPr>
          <w:attr w:name="Hour" w:val="12"/>
          <w:attr w:name="Minute" w:val="0"/>
        </w:smartTagPr>
        <w:r>
          <w:t>noon</w:t>
        </w:r>
      </w:smartTag>
      <w:r>
        <w:t xml:space="preserve">, for the purpose of being conveyed to </w:t>
      </w:r>
      <w:smartTag w:uri="urn:schemas-microsoft-com:office:smarttags" w:element="City">
        <w:smartTag w:uri="urn:schemas-microsoft-com:office:smarttags" w:element="place">
          <w:r>
            <w:t>Greenwich</w:t>
          </w:r>
        </w:smartTag>
      </w:smartTag>
      <w:r>
        <w:t xml:space="preserve">…; at the same time the defendants' clerk was told that a special entry, if required, should be made to hasten its delivery.  The delivery of the shaft at </w:t>
      </w:r>
      <w:smartTag w:uri="urn:schemas-microsoft-com:office:smarttags" w:element="City">
        <w:smartTag w:uri="urn:schemas-microsoft-com:office:smarttags" w:element="place">
          <w:r>
            <w:t>Greenwich</w:t>
          </w:r>
        </w:smartTag>
      </w:smartTag>
      <w:r>
        <w:t xml:space="preserve"> was delayed by some neglect; and the consequence was, that the plaintiffs did not receive the new shaft for several days after they would otherwise have done, and the working of their mill was thereby delayed, and they thereby lost the profits they would otherwise have received.</w:t>
      </w:r>
    </w:p>
    <w:p w:rsidR="00032A5B" w:rsidRDefault="00032A5B" w:rsidP="00032A5B">
      <w:pPr>
        <w:jc w:val="both"/>
      </w:pPr>
    </w:p>
    <w:p w:rsidR="00032A5B" w:rsidRDefault="00032A5B" w:rsidP="00032A5B">
      <w:pPr>
        <w:jc w:val="both"/>
      </w:pPr>
      <w:r>
        <w:t>On the part of the defendants, it was objected that these damages were too remote, and that the defendants were not liable with respect to them.  The learned Judge left the case generally to the jury, which found a verdict with £25 damages beyond the amount paid into Court….</w:t>
      </w:r>
    </w:p>
    <w:p w:rsidR="00032A5B" w:rsidRDefault="00032A5B" w:rsidP="00032A5B">
      <w:pPr>
        <w:jc w:val="both"/>
      </w:pPr>
    </w:p>
    <w:p w:rsidR="00032A5B" w:rsidRDefault="00032A5B" w:rsidP="00032A5B">
      <w:pPr>
        <w:jc w:val="both"/>
      </w:pPr>
    </w:p>
    <w:p w:rsidR="00032A5B" w:rsidRDefault="00032A5B" w:rsidP="00032A5B">
      <w:pPr>
        <w:jc w:val="both"/>
      </w:pPr>
      <w:r>
        <w:t>ALDERSON, B.</w:t>
      </w:r>
    </w:p>
    <w:p w:rsidR="00032A5B" w:rsidRDefault="00032A5B" w:rsidP="00032A5B">
      <w:pPr>
        <w:jc w:val="both"/>
      </w:pPr>
    </w:p>
    <w:p w:rsidR="00032A5B" w:rsidRDefault="00032A5B" w:rsidP="00032A5B">
      <w:pPr>
        <w:jc w:val="both"/>
      </w:pPr>
      <w:r>
        <w:t>We think there ought to be a new trial in this case; but, in so doing, we deem it to be expedient and necessary to state explicitly the rule which the Judge, at the next trial, ought, in our opinion, to direct the jury to be governed by when they estimate the damages.</w:t>
      </w:r>
    </w:p>
    <w:p w:rsidR="00032A5B" w:rsidRDefault="00032A5B" w:rsidP="00032A5B">
      <w:pPr>
        <w:jc w:val="both"/>
      </w:pPr>
    </w:p>
    <w:p w:rsidR="00032A5B" w:rsidRDefault="00032A5B" w:rsidP="00032A5B">
      <w:pPr>
        <w:jc w:val="both"/>
      </w:pPr>
      <w:r>
        <w:t>It is, indeed, of the last importance that we should do this; for, if the jury are left without any definite rule to guide them, it will, in such cases as these, manifestly lead to the greatest injustice….</w:t>
      </w:r>
    </w:p>
    <w:p w:rsidR="00032A5B" w:rsidRDefault="00032A5B" w:rsidP="00032A5B">
      <w:pPr>
        <w:jc w:val="both"/>
      </w:pPr>
    </w:p>
    <w:p w:rsidR="00032A5B" w:rsidRDefault="00032A5B" w:rsidP="00032A5B">
      <w:pPr>
        <w:pStyle w:val="BodyText2"/>
      </w:pPr>
      <w:r>
        <w:t xml:space="preserve">Now we think the proper rule in such a case as the present is this; — Where two parties have made a contract which one of them has broken, the damages which the other party ought to receive in respect of such breach of contract should be such as may fairly and reasonably be considered either arising naturally, i.e., according to the usual course of things, from such breach of contract itself, or such as may reasonably be supposed to have been in the contemplation of both parties, at the time they made the contract, as the probable result of the breach of it.  Now, if the special circumstances under which the contract was actually made were communicated by the plaintiffs to the defendants, and thus known to both parties, the damages resulting from the breach of such a contract, which they would reasonably contemplate, would be the amount of injury which would ordinarily follow from a breach of contract under these special circumstances so known and communicated.  But, on the other hand, if these special circumstances were wholly unknown to the party breaking the contract, he, at the most, could only be supposed to have had in his contemplation the amount of injury which would arise generally, and in the great multitude of cases not affected by any special circumstances, from such a breach of contract.  For, had the special circumstances been known, the parties might have specially provided for the breach of contract by special terms as to the damages in that case; and of this advantage it would be very unjust to deprive them.  Now the above principles are those by which we think the jury ought to be guided in estimating the damages arising out of any breach of contract.  It is said, that other cases such as breaches of contract in the non-payment of money, or in the not making a good title to land, are to be treated as exceptions from this, and as governed by a conventional rule.  But as, in such cases, both parties must be supposed to be cognizant of that well-known rule, these cases may, we think, be more properly classed under the rule above enunciated as to cases under known special circumstances, because there both parties may reasonably be presumed to contemplate the estimation of the amount of damages according to the conventional rule.  Now, in the present case, if we are to apply the principles above laid down, we find that the only circumstances here communicated by the plaintiffs to the defendants at the time the contract was made, were, that the article to be carried was the broken shaft of a mill, and that the plaintiffs were the millers of that mill.  </w:t>
      </w:r>
      <w:r>
        <w:lastRenderedPageBreak/>
        <w:t>But how do these circumstances shew [sic] reasonably that the profits of the mill must be stopped by an unreasonable delay in the delivery of the broken shaft by the carrier to the third person?  Suppose the plaintiffs had another shaft in their possession put up or putting up at the time, and that they only wished to send back the broken shaft to the engineer who made it; it is clear that this would be quite consistent with the above circumstances, and yet the unreasonable delay in the delivery would have no effect upon the intermediate profits of the mill.  Or, again, suppose that, at the time of the delivery to the carrier, the machinery of the mill had been in other respects defective, then, also, the same results would follow.  Here it is true that the shaft was actually sent back to serve as a model for a new one, and that the want of a new one was the only cause of the stoppage of the mill, and that the loss of profits really arose from not sending down the new shaft in proper time, and that this arose from the delay in delivering the broken one to serve as a model.  But it is obvious that, in the great multitude of cases of millers sending off broken shafts to third persons by a carrier under ordinary circumstances, such consequences would not, in all probability, have occurred; and these special circumstances were here never communicated by the plaintiffs to the defendants.  It follows, therefore, that the loss of profits here cannot reasonably be considered such a consequence of the breach of contract as could have been fairly and reasonably contemplated by both the parties when they made this contract.  For such loss would neither have flowed naturally from the breach of this contract in the great multitude of such cases occurring under ordinary circumstances, nor were the special circumstances which, perhaps, would have made it a reasonable and natural consequence of such breach of contract, communicated to or known by the defendants.  The Judge ought, therefore, to have told the jury, that, upon the facts then before them, they ought not to take the loss of profits into consideration at all in estimating the damages…</w:t>
      </w:r>
    </w:p>
    <w:p w:rsidR="00032A5B" w:rsidRDefault="00032A5B" w:rsidP="00032A5B">
      <w:pPr>
        <w:pStyle w:val="BodyText2"/>
      </w:pPr>
    </w:p>
    <w:p w:rsidR="00032A5B" w:rsidRDefault="00032A5B" w:rsidP="00032A5B">
      <w:pPr>
        <w:pStyle w:val="BodyText2"/>
      </w:pPr>
    </w:p>
    <w:p w:rsidR="00032A5B" w:rsidRPr="00C34AB5" w:rsidRDefault="00032A5B" w:rsidP="00032A5B">
      <w:pPr>
        <w:ind w:left="154" w:right="154"/>
        <w:jc w:val="center"/>
      </w:pPr>
      <w:r>
        <w:br w:type="page"/>
      </w:r>
      <w:r w:rsidRPr="00C85013">
        <w:rPr>
          <w:color w:val="000000"/>
        </w:rPr>
        <w:lastRenderedPageBreak/>
        <w:t>Super Valu Stores, Inc. v. Thomas J. Peterson</w:t>
      </w:r>
    </w:p>
    <w:p w:rsidR="00032A5B" w:rsidRPr="00C85013" w:rsidRDefault="00032A5B" w:rsidP="00032A5B">
      <w:pPr>
        <w:ind w:left="225" w:right="225"/>
        <w:jc w:val="center"/>
        <w:rPr>
          <w:color w:val="000000"/>
        </w:rPr>
      </w:pPr>
      <w:r w:rsidRPr="00C85013">
        <w:rPr>
          <w:color w:val="000000"/>
        </w:rPr>
        <w:br/>
        <w:t xml:space="preserve">Supreme Court of </w:t>
      </w:r>
      <w:smartTag w:uri="urn:schemas-microsoft-com:office:smarttags" w:element="State">
        <w:smartTag w:uri="urn:schemas-microsoft-com:office:smarttags" w:element="place">
          <w:r w:rsidRPr="00C85013">
            <w:rPr>
              <w:color w:val="000000"/>
            </w:rPr>
            <w:t>Alabama</w:t>
          </w:r>
        </w:smartTag>
      </w:smartTag>
    </w:p>
    <w:p w:rsidR="00032A5B" w:rsidRPr="00C85013" w:rsidRDefault="00032A5B" w:rsidP="00032A5B">
      <w:pPr>
        <w:ind w:left="225" w:right="225"/>
        <w:jc w:val="center"/>
        <w:rPr>
          <w:color w:val="000000"/>
        </w:rPr>
      </w:pPr>
      <w:r w:rsidRPr="00C85013">
        <w:rPr>
          <w:color w:val="000000"/>
        </w:rPr>
        <w:br/>
      </w:r>
      <w:r w:rsidRPr="00C85013">
        <w:rPr>
          <w:rStyle w:val="hit1"/>
          <w:b w:val="0"/>
          <w:color w:val="000000"/>
        </w:rPr>
        <w:t>506 So. 2d 317</w:t>
      </w:r>
      <w:r w:rsidRPr="00C85013">
        <w:rPr>
          <w:b/>
          <w:color w:val="000000"/>
        </w:rPr>
        <w:br/>
      </w:r>
      <w:r w:rsidRPr="00C85013">
        <w:rPr>
          <w:color w:val="000000"/>
        </w:rPr>
        <w:br/>
      </w:r>
      <w:smartTag w:uri="urn:schemas-microsoft-com:office:smarttags" w:element="date">
        <w:smartTagPr>
          <w:attr w:name="Month" w:val="3"/>
          <w:attr w:name="Day" w:val="27"/>
          <w:attr w:name="Year" w:val="1987"/>
        </w:smartTagPr>
        <w:r w:rsidRPr="00C85013">
          <w:rPr>
            <w:color w:val="000000"/>
          </w:rPr>
          <w:t>March 27, 1987</w:t>
        </w:r>
      </w:smartTag>
      <w:r w:rsidRPr="00C85013">
        <w:rPr>
          <w:color w:val="000000"/>
        </w:rPr>
        <w:t xml:space="preserve">, Filed </w:t>
      </w:r>
    </w:p>
    <w:p w:rsidR="00032A5B" w:rsidRPr="00447B32" w:rsidRDefault="00032A5B" w:rsidP="00032A5B">
      <w:pPr>
        <w:ind w:left="225" w:right="225"/>
      </w:pPr>
      <w:r w:rsidRPr="00C85013">
        <w:br/>
      </w:r>
    </w:p>
    <w:p w:rsidR="00032A5B" w:rsidRPr="00447B32" w:rsidRDefault="00032A5B" w:rsidP="00032A5B">
      <w:pPr>
        <w:ind w:left="225" w:right="225"/>
      </w:pPr>
      <w:r w:rsidRPr="00447B32">
        <w:rPr>
          <w:rStyle w:val="verdana1"/>
          <w:rFonts w:ascii="Times New Roman" w:hAnsi="Times New Roman"/>
          <w:bCs/>
          <w:color w:val="000000"/>
        </w:rPr>
        <w:t>O</w:t>
      </w:r>
      <w:r w:rsidR="00447B32">
        <w:rPr>
          <w:rStyle w:val="verdana1"/>
          <w:rFonts w:ascii="Times New Roman" w:hAnsi="Times New Roman"/>
          <w:bCs/>
          <w:color w:val="000000"/>
        </w:rPr>
        <w:t>pinion</w:t>
      </w:r>
      <w:r w:rsidRPr="00447B32">
        <w:rPr>
          <w:rStyle w:val="verdana1"/>
          <w:rFonts w:ascii="Times New Roman" w:hAnsi="Times New Roman"/>
          <w:bCs/>
          <w:color w:val="000000"/>
        </w:rPr>
        <w:t>:</w:t>
      </w:r>
      <w:r w:rsidRPr="00447B32">
        <w:rPr>
          <w:rStyle w:val="verdana1"/>
          <w:rFonts w:ascii="Times New Roman" w:hAnsi="Times New Roman"/>
          <w:color w:val="000000"/>
        </w:rPr>
        <w:t xml:space="preserve">  </w:t>
      </w:r>
      <w:r w:rsidR="00447B32">
        <w:rPr>
          <w:rStyle w:val="verdana1"/>
          <w:rFonts w:ascii="Times New Roman" w:hAnsi="Times New Roman"/>
          <w:color w:val="000000"/>
        </w:rPr>
        <w:t xml:space="preserve">Judge </w:t>
      </w:r>
      <w:r w:rsidRPr="00447B32">
        <w:rPr>
          <w:rStyle w:val="verdana1"/>
          <w:rFonts w:ascii="Times New Roman" w:hAnsi="Times New Roman"/>
          <w:color w:val="000000"/>
        </w:rPr>
        <w:t>M</w:t>
      </w:r>
      <w:r w:rsidR="00447B32">
        <w:rPr>
          <w:rStyle w:val="verdana1"/>
          <w:rFonts w:ascii="Times New Roman" w:hAnsi="Times New Roman"/>
          <w:color w:val="000000"/>
        </w:rPr>
        <w:t>addox</w:t>
      </w:r>
      <w:r w:rsidRPr="00447B32">
        <w:rPr>
          <w:rStyle w:val="verdana1"/>
          <w:rFonts w:ascii="Times New Roman" w:hAnsi="Times New Roman"/>
          <w:color w:val="000000"/>
        </w:rPr>
        <w:t xml:space="preserve"> </w:t>
      </w:r>
      <w:r w:rsidRPr="00447B32">
        <w:br/>
      </w:r>
      <w:bookmarkStart w:id="44" w:name="PAGE_320_4962"/>
      <w:bookmarkEnd w:id="44"/>
    </w:p>
    <w:p w:rsidR="00032A5B" w:rsidRPr="00C85013" w:rsidRDefault="00032A5B" w:rsidP="00032A5B">
      <w:pPr>
        <w:ind w:left="225" w:right="225"/>
      </w:pPr>
      <w:r w:rsidRPr="00447B32">
        <w:t xml:space="preserve">. . .  Peterson filed a claim against Super Valu in November 1984. That claim arose out of an alleged willful failure by Super Valu </w:t>
      </w:r>
      <w:r w:rsidRPr="00C85013">
        <w:t>to construct and lease to Peterson a discount grocery store, known as the Oxford County Market. Briefly stated, Peterson's substantive claims at trial were twofold: (1) that Super Valu's deliberate decision not to build this store as previously agreed constituted a material breach of an express contract, destroying Peterson's career plans and causing him to lose millions of dollars, and (2) that certain misrepresentations and nondisclosures by</w:t>
      </w:r>
      <w:bookmarkStart w:id="45" w:name="PAGE_3_7010"/>
      <w:bookmarkEnd w:id="45"/>
      <w:r w:rsidRPr="00C85013">
        <w:t xml:space="preserve"> Super Valu resulted in enormous damages to him. </w:t>
      </w:r>
      <w:r>
        <w:t xml:space="preserve"> </w:t>
      </w:r>
      <w:r w:rsidRPr="00C85013">
        <w:t xml:space="preserve">On </w:t>
      </w:r>
      <w:smartTag w:uri="urn:schemas-microsoft-com:office:smarttags" w:element="date">
        <w:smartTagPr>
          <w:attr w:name="Year" w:val="1985"/>
          <w:attr w:name="Day" w:val="7"/>
          <w:attr w:name="Month" w:val="8"/>
          <w:attr w:name="ls" w:val="trans"/>
        </w:smartTagPr>
        <w:r w:rsidRPr="00C85013">
          <w:t>August 7, 1985</w:t>
        </w:r>
      </w:smartTag>
      <w:r w:rsidRPr="00C85013">
        <w:t>, the jury returned a verdict against Super Valu and in favor of Peterson in the amount of $5,000,000 and a judgmen</w:t>
      </w:r>
      <w:r>
        <w:t>t was entered on the same date.</w:t>
      </w:r>
    </w:p>
    <w:p w:rsidR="00032A5B" w:rsidRPr="00C85013" w:rsidRDefault="00032A5B" w:rsidP="00032A5B">
      <w:pPr>
        <w:pStyle w:val="loose"/>
        <w:ind w:left="225" w:right="225"/>
        <w:rPr>
          <w:color w:val="000000"/>
          <w:sz w:val="20"/>
          <w:szCs w:val="20"/>
        </w:rPr>
      </w:pPr>
      <w:r w:rsidRPr="00C85013">
        <w:rPr>
          <w:color w:val="000000"/>
          <w:sz w:val="20"/>
          <w:szCs w:val="20"/>
        </w:rPr>
        <w:t xml:space="preserve">The facts pertinent to this action follow: Super Valu purchased a parcel of property in </w:t>
      </w:r>
      <w:smartTag w:uri="urn:schemas-microsoft-com:office:smarttags" w:element="place">
        <w:smartTag w:uri="urn:schemas-microsoft-com:office:smarttags" w:element="City">
          <w:r w:rsidRPr="00C85013">
            <w:rPr>
              <w:color w:val="000000"/>
              <w:sz w:val="20"/>
              <w:szCs w:val="20"/>
            </w:rPr>
            <w:t>Oxford</w:t>
          </w:r>
        </w:smartTag>
        <w:r w:rsidRPr="00C85013">
          <w:rPr>
            <w:color w:val="000000"/>
            <w:sz w:val="20"/>
            <w:szCs w:val="20"/>
          </w:rPr>
          <w:t xml:space="preserve">, </w:t>
        </w:r>
        <w:smartTag w:uri="urn:schemas-microsoft-com:office:smarttags" w:element="State">
          <w:r w:rsidRPr="00C85013">
            <w:rPr>
              <w:color w:val="000000"/>
              <w:sz w:val="20"/>
              <w:szCs w:val="20"/>
            </w:rPr>
            <w:t>Alabama</w:t>
          </w:r>
        </w:smartTag>
      </w:smartTag>
      <w:r w:rsidRPr="00C85013">
        <w:rPr>
          <w:color w:val="000000"/>
          <w:sz w:val="20"/>
          <w:szCs w:val="20"/>
        </w:rPr>
        <w:t>, in 1981, and eventually made plans for its development as a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The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concept was a new one; the first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opened in 1981. The basic concept of the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is that it must be the lowest priced store in the market and operate on a high volume, low profit structure; thus, it must draw customers from a larger market area than a traditional supermarket. Since Super Valu was a wholesaler, it planned to have an independent retailer operate the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planned for </w:t>
      </w:r>
      <w:smartTag w:uri="urn:schemas-microsoft-com:office:smarttags" w:element="City">
        <w:smartTag w:uri="urn:schemas-microsoft-com:office:smarttags" w:element="place">
          <w:r w:rsidRPr="00C85013">
            <w:rPr>
              <w:color w:val="000000"/>
              <w:sz w:val="20"/>
              <w:szCs w:val="20"/>
            </w:rPr>
            <w:t>Oxford</w:t>
          </w:r>
        </w:smartTag>
      </w:smartTag>
      <w:r w:rsidRPr="00C85013">
        <w:rPr>
          <w:color w:val="000000"/>
          <w:sz w:val="20"/>
          <w:szCs w:val="20"/>
        </w:rPr>
        <w:t>. Peterson (who at this time was president of the Anniston Division of Super Valu) presented several potential operators</w:t>
      </w:r>
      <w:r>
        <w:rPr>
          <w:color w:val="000000"/>
          <w:sz w:val="20"/>
          <w:szCs w:val="20"/>
        </w:rPr>
        <w:t xml:space="preserve"> </w:t>
      </w:r>
      <w:r w:rsidRPr="00C85013">
        <w:rPr>
          <w:color w:val="000000"/>
          <w:sz w:val="20"/>
          <w:szCs w:val="20"/>
        </w:rPr>
        <w:t xml:space="preserve">to Super Valu for consideration. </w:t>
      </w:r>
      <w:r>
        <w:rPr>
          <w:color w:val="000000"/>
          <w:sz w:val="20"/>
          <w:szCs w:val="20"/>
        </w:rPr>
        <w:t xml:space="preserve">. . </w:t>
      </w:r>
    </w:p>
    <w:p w:rsidR="00032A5B" w:rsidRPr="00C85013" w:rsidRDefault="00032A5B" w:rsidP="00032A5B">
      <w:pPr>
        <w:pStyle w:val="loose"/>
        <w:ind w:left="225" w:right="225"/>
        <w:rPr>
          <w:color w:val="000000"/>
          <w:sz w:val="20"/>
          <w:szCs w:val="20"/>
        </w:rPr>
      </w:pPr>
      <w:r w:rsidRPr="00C85013">
        <w:rPr>
          <w:color w:val="000000"/>
          <w:sz w:val="20"/>
          <w:szCs w:val="20"/>
        </w:rPr>
        <w:t xml:space="preserve">At least three other prospective retailers other than Peterson considered operating the Oxford County Market; however, none of these men decided to undertake the project. At this point (May 1983), Peterson decided to become a formal applicant for the retailer's position at the proposed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In January 1984, Peterson was approved as the retailer of the proposed Oxford County Market. This approval required Peterson to retire from his job at Super Valu, because Super Valu policy would not allow an employee to own an inte</w:t>
      </w:r>
      <w:r>
        <w:rPr>
          <w:color w:val="000000"/>
          <w:sz w:val="20"/>
          <w:szCs w:val="20"/>
        </w:rPr>
        <w:t>rest in a retail grocery store. . . .</w:t>
      </w:r>
    </w:p>
    <w:p w:rsidR="00032A5B" w:rsidRPr="00C85013" w:rsidRDefault="00032A5B" w:rsidP="00032A5B">
      <w:pPr>
        <w:pStyle w:val="loose"/>
        <w:ind w:left="225" w:right="225"/>
        <w:rPr>
          <w:color w:val="000000"/>
          <w:sz w:val="20"/>
          <w:szCs w:val="20"/>
        </w:rPr>
      </w:pPr>
      <w:r w:rsidRPr="00C85013">
        <w:rPr>
          <w:color w:val="000000"/>
          <w:sz w:val="20"/>
          <w:szCs w:val="20"/>
        </w:rPr>
        <w:t>In the meantime, progress</w:t>
      </w:r>
      <w:bookmarkStart w:id="46" w:name="PAGE_321_4962"/>
      <w:bookmarkEnd w:id="46"/>
      <w:r w:rsidRPr="00C85013">
        <w:rPr>
          <w:color w:val="000000"/>
          <w:sz w:val="20"/>
          <w:szCs w:val="20"/>
        </w:rPr>
        <w:t xml:space="preserve"> continued for the development of the store with Peterson as the retailer. Peterson retired from Super Valu on </w:t>
      </w:r>
      <w:smartTag w:uri="urn:schemas-microsoft-com:office:smarttags" w:element="date">
        <w:smartTagPr>
          <w:attr w:name="Year" w:val="1984"/>
          <w:attr w:name="Day" w:val="29"/>
          <w:attr w:name="Month" w:val="2"/>
          <w:attr w:name="ls" w:val="trans"/>
        </w:smartTagPr>
        <w:r w:rsidRPr="00C85013">
          <w:rPr>
            <w:color w:val="000000"/>
            <w:sz w:val="20"/>
            <w:szCs w:val="20"/>
          </w:rPr>
          <w:t>February 29, 1984</w:t>
        </w:r>
      </w:smartTag>
      <w:r w:rsidRPr="00C85013">
        <w:rPr>
          <w:color w:val="000000"/>
          <w:sz w:val="20"/>
          <w:szCs w:val="20"/>
        </w:rPr>
        <w:t>. In March 1984, Super Valu's attorney spoke to Peterson and asked him to hold off</w:t>
      </w:r>
      <w:bookmarkStart w:id="47" w:name="PAGE_5_7010"/>
      <w:bookmarkEnd w:id="47"/>
      <w:r w:rsidRPr="00C85013">
        <w:rPr>
          <w:color w:val="000000"/>
          <w:sz w:val="20"/>
          <w:szCs w:val="20"/>
        </w:rPr>
        <w:t xml:space="preserve"> on going forward with the store . . . </w:t>
      </w:r>
      <w:r>
        <w:rPr>
          <w:color w:val="000000"/>
          <w:sz w:val="20"/>
          <w:szCs w:val="20"/>
        </w:rPr>
        <w:t xml:space="preserve">  </w:t>
      </w:r>
      <w:r w:rsidRPr="00C85013">
        <w:rPr>
          <w:color w:val="000000"/>
          <w:sz w:val="20"/>
          <w:szCs w:val="20"/>
        </w:rPr>
        <w:t xml:space="preserve">Peterson, through his attorney, made demands upon Super Valu to continue with the building of the proposed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He later withdrew the demands that the development of the store proceed. On </w:t>
      </w:r>
      <w:smartTag w:uri="urn:schemas-microsoft-com:office:smarttags" w:element="date">
        <w:smartTagPr>
          <w:attr w:name="Year" w:val="1984"/>
          <w:attr w:name="Day" w:val="19"/>
          <w:attr w:name="Month" w:val="11"/>
          <w:attr w:name="ls" w:val="trans"/>
        </w:smartTagPr>
        <w:r w:rsidRPr="00C85013">
          <w:rPr>
            <w:color w:val="000000"/>
            <w:sz w:val="20"/>
            <w:szCs w:val="20"/>
          </w:rPr>
          <w:t>November 19, 1984</w:t>
        </w:r>
      </w:smartTag>
      <w:r w:rsidRPr="00C85013">
        <w:rPr>
          <w:color w:val="000000"/>
          <w:sz w:val="20"/>
          <w:szCs w:val="20"/>
        </w:rPr>
        <w:t xml:space="preserve">, Peterson filed a cross-claim against Super Valu, alleging that Super Valu had entered into a binding contract with him whereby he would become the retailer of the proposed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in </w:t>
      </w:r>
      <w:smartTag w:uri="urn:schemas-microsoft-com:office:smarttags" w:element="City">
        <w:smartTag w:uri="urn:schemas-microsoft-com:office:smarttags" w:element="place">
          <w:r w:rsidRPr="00C85013">
            <w:rPr>
              <w:color w:val="000000"/>
              <w:sz w:val="20"/>
              <w:szCs w:val="20"/>
            </w:rPr>
            <w:t>Oxford</w:t>
          </w:r>
        </w:smartTag>
      </w:smartTag>
      <w:r w:rsidRPr="00C85013">
        <w:rPr>
          <w:color w:val="000000"/>
          <w:sz w:val="20"/>
          <w:szCs w:val="20"/>
        </w:rPr>
        <w:t xml:space="preserve">. </w:t>
      </w:r>
      <w:r>
        <w:rPr>
          <w:color w:val="000000"/>
          <w:sz w:val="20"/>
          <w:szCs w:val="20"/>
        </w:rPr>
        <w:t>. . .</w:t>
      </w:r>
    </w:p>
    <w:p w:rsidR="00032A5B" w:rsidRPr="00C85013" w:rsidRDefault="00032A5B" w:rsidP="00032A5B">
      <w:pPr>
        <w:pStyle w:val="loose"/>
        <w:ind w:left="225" w:right="225"/>
        <w:rPr>
          <w:color w:val="000000"/>
          <w:sz w:val="20"/>
          <w:szCs w:val="20"/>
        </w:rPr>
      </w:pPr>
      <w:r w:rsidRPr="00C85013">
        <w:rPr>
          <w:color w:val="000000"/>
          <w:sz w:val="20"/>
          <w:szCs w:val="20"/>
        </w:rPr>
        <w:t>The</w:t>
      </w:r>
      <w:r>
        <w:rPr>
          <w:color w:val="000000"/>
          <w:sz w:val="20"/>
          <w:szCs w:val="20"/>
        </w:rPr>
        <w:t xml:space="preserve"> </w:t>
      </w:r>
      <w:r w:rsidRPr="00C85013">
        <w:rPr>
          <w:color w:val="000000"/>
          <w:sz w:val="20"/>
          <w:szCs w:val="20"/>
        </w:rPr>
        <w:t xml:space="preserve">issue presented is whether Peterson presented competent evidence proving with "reasonable certainty" the lost profits that he suffered as a result of Super Valu's conduct. </w:t>
      </w:r>
    </w:p>
    <w:p w:rsidR="00032A5B" w:rsidRPr="00C85013" w:rsidRDefault="00032A5B" w:rsidP="00032A5B">
      <w:pPr>
        <w:pStyle w:val="loose"/>
        <w:ind w:left="225" w:right="225"/>
        <w:rPr>
          <w:color w:val="000000"/>
          <w:sz w:val="20"/>
          <w:szCs w:val="20"/>
        </w:rPr>
      </w:pPr>
      <w:r w:rsidRPr="00C85013">
        <w:rPr>
          <w:color w:val="000000"/>
          <w:sz w:val="20"/>
          <w:szCs w:val="20"/>
        </w:rPr>
        <w:t xml:space="preserve">Super Valu contends that the trial court erroneously allowed "expert" testimony, and other evidence to the effect that the hypothetical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would have earned profits of $20,000,000 in fifteen years of operation by Peterson. </w:t>
      </w:r>
      <w:r>
        <w:rPr>
          <w:color w:val="000000"/>
          <w:sz w:val="20"/>
          <w:szCs w:val="20"/>
        </w:rPr>
        <w:t xml:space="preserve"> </w:t>
      </w:r>
      <w:r w:rsidRPr="00C85013">
        <w:rPr>
          <w:color w:val="000000"/>
          <w:sz w:val="20"/>
          <w:szCs w:val="20"/>
        </w:rPr>
        <w:t xml:space="preserve">Super Valu argues that this Court follows the general rule of damages that anticipated profits of a commercial business are too speculative, remote, and uncertain to permit their recovery. Super Valu argues that the "per se" rule of lost profits should apply to this case. The "per se" rule of lost profits is that anticipated profits of a new or hypothetical business can </w:t>
      </w:r>
      <w:r w:rsidRPr="00C85013">
        <w:rPr>
          <w:rStyle w:val="italic1"/>
          <w:color w:val="000000"/>
          <w:sz w:val="20"/>
          <w:szCs w:val="20"/>
        </w:rPr>
        <w:t>never</w:t>
      </w:r>
      <w:r w:rsidRPr="00C85013">
        <w:rPr>
          <w:color w:val="000000"/>
          <w:sz w:val="20"/>
          <w:szCs w:val="20"/>
        </w:rPr>
        <w:t xml:space="preserve"> be recovered, because they are inherently too speculative and conjectural. </w:t>
      </w:r>
    </w:p>
    <w:p w:rsidR="00032A5B" w:rsidRPr="00C85013" w:rsidRDefault="00032A5B" w:rsidP="00032A5B">
      <w:pPr>
        <w:pStyle w:val="loose"/>
        <w:ind w:left="225" w:right="225"/>
        <w:rPr>
          <w:color w:val="000000"/>
          <w:sz w:val="20"/>
          <w:szCs w:val="20"/>
        </w:rPr>
      </w:pPr>
      <w:r w:rsidRPr="00C85013">
        <w:rPr>
          <w:color w:val="000000"/>
          <w:sz w:val="20"/>
          <w:szCs w:val="20"/>
        </w:rPr>
        <w:t xml:space="preserve">Super Valu also contends that there are no </w:t>
      </w:r>
      <w:smartTag w:uri="urn:schemas-microsoft-com:office:smarttags" w:element="State">
        <w:smartTag w:uri="urn:schemas-microsoft-com:office:smarttags" w:element="place">
          <w:r w:rsidRPr="00C85013">
            <w:rPr>
              <w:color w:val="000000"/>
              <w:sz w:val="20"/>
              <w:szCs w:val="20"/>
            </w:rPr>
            <w:t>Alabama</w:t>
          </w:r>
        </w:smartTag>
      </w:smartTag>
      <w:r w:rsidRPr="00C85013">
        <w:rPr>
          <w:color w:val="000000"/>
          <w:sz w:val="20"/>
          <w:szCs w:val="20"/>
        </w:rPr>
        <w:t xml:space="preserve"> cases that have allowed a plaintiff to recover anticipated profits of a hypothetical business that never</w:t>
      </w:r>
      <w:bookmarkStart w:id="48" w:name="PAGE_24_7010"/>
      <w:bookmarkEnd w:id="48"/>
      <w:r w:rsidRPr="00C85013">
        <w:rPr>
          <w:color w:val="000000"/>
          <w:sz w:val="20"/>
          <w:szCs w:val="20"/>
        </w:rPr>
        <w:t xml:space="preserve"> operates. Super Valu contends that proof of lost profits must satisfy the "reasonable certainty" test. Super Valu argues that under this test a plaintiff must prove a subsequent profit history and that any uncertainty that plaintiff would in fact have made a profit is fatal to the lost profits recovery. Super Valu also argues that the plaintiff must also establish that he has a profitable, substantially similar business in the same </w:t>
      </w:r>
      <w:r w:rsidRPr="00C85013">
        <w:rPr>
          <w:color w:val="000000"/>
          <w:sz w:val="20"/>
          <w:szCs w:val="20"/>
        </w:rPr>
        <w:lastRenderedPageBreak/>
        <w:t xml:space="preserve">geographic area. Finally, Super Valu contends that Peterson's profit projections constitute remote, speculative, and conjectural evidence. </w:t>
      </w:r>
    </w:p>
    <w:p w:rsidR="00032A5B" w:rsidRPr="00012E58" w:rsidRDefault="00032A5B" w:rsidP="00032A5B">
      <w:pPr>
        <w:pStyle w:val="loose"/>
        <w:ind w:left="225" w:right="225"/>
        <w:rPr>
          <w:sz w:val="20"/>
          <w:szCs w:val="20"/>
        </w:rPr>
      </w:pPr>
      <w:bookmarkStart w:id="49" w:name="PAGE_327_4962"/>
      <w:bookmarkEnd w:id="49"/>
      <w:r w:rsidRPr="00C85013">
        <w:rPr>
          <w:color w:val="000000"/>
          <w:sz w:val="20"/>
          <w:szCs w:val="20"/>
        </w:rPr>
        <w:t xml:space="preserve">We are of the opinion that the jury's award of compensatory damages to Peterson is completely consistent with the law of </w:t>
      </w:r>
      <w:smartTag w:uri="urn:schemas-microsoft-com:office:smarttags" w:element="State">
        <w:smartTag w:uri="urn:schemas-microsoft-com:office:smarttags" w:element="place">
          <w:r w:rsidRPr="00C85013">
            <w:rPr>
              <w:color w:val="000000"/>
              <w:sz w:val="20"/>
              <w:szCs w:val="20"/>
            </w:rPr>
            <w:t>Alabama</w:t>
          </w:r>
        </w:smartTag>
      </w:smartTag>
      <w:r w:rsidRPr="00C85013">
        <w:rPr>
          <w:color w:val="000000"/>
          <w:sz w:val="20"/>
          <w:szCs w:val="20"/>
        </w:rPr>
        <w:t xml:space="preserve"> and with the evidence in this case. Current </w:t>
      </w:r>
      <w:smartTag w:uri="urn:schemas-microsoft-com:office:smarttags" w:element="State">
        <w:smartTag w:uri="urn:schemas-microsoft-com:office:smarttags" w:element="place">
          <w:r w:rsidRPr="00C85013">
            <w:rPr>
              <w:color w:val="000000"/>
              <w:sz w:val="20"/>
              <w:szCs w:val="20"/>
            </w:rPr>
            <w:t>Alabama</w:t>
          </w:r>
        </w:smartTag>
      </w:smartTag>
      <w:r w:rsidRPr="00C85013">
        <w:rPr>
          <w:color w:val="000000"/>
          <w:sz w:val="20"/>
          <w:szCs w:val="20"/>
        </w:rPr>
        <w:t xml:space="preserve"> law, like the law of other states, authorizes recovery of anticipated profits of an unestablished business, if proved with reasonable certainty. [citation omitted]  In this case, Peterson's evidence of lost profits is sufficient to meet the "reasonable certainty" stan</w:t>
      </w:r>
      <w:r w:rsidRPr="00012E58">
        <w:rPr>
          <w:color w:val="000000"/>
          <w:sz w:val="20"/>
          <w:szCs w:val="20"/>
        </w:rPr>
        <w:t xml:space="preserve">dard and supports the jury award. </w:t>
      </w:r>
      <w:r>
        <w:rPr>
          <w:color w:val="000000"/>
          <w:sz w:val="20"/>
          <w:szCs w:val="20"/>
        </w:rPr>
        <w:t xml:space="preserve">  </w:t>
      </w:r>
      <w:r w:rsidRPr="00012E58">
        <w:rPr>
          <w:color w:val="000000"/>
          <w:sz w:val="20"/>
          <w:szCs w:val="20"/>
        </w:rPr>
        <w:t>This Court confirmed that the reasonable certainty standard for proving</w:t>
      </w:r>
      <w:bookmarkStart w:id="50" w:name="PAGE_25_7010"/>
      <w:bookmarkEnd w:id="50"/>
      <w:r w:rsidRPr="00012E58">
        <w:rPr>
          <w:color w:val="000000"/>
          <w:sz w:val="20"/>
          <w:szCs w:val="20"/>
        </w:rPr>
        <w:t xml:space="preserve"> profits of an unestablished business prevails in Alabama in </w:t>
      </w:r>
      <w:hyperlink r:id="rId24" w:tgtFrame="_parent" w:history="1">
        <w:r w:rsidRPr="00012E58">
          <w:rPr>
            <w:rStyle w:val="italic1"/>
            <w:color w:val="000000"/>
            <w:sz w:val="20"/>
            <w:szCs w:val="20"/>
          </w:rPr>
          <w:t>Morgan v. South Central Bell Telephone Co.</w:t>
        </w:r>
        <w:r w:rsidRPr="00012E58">
          <w:rPr>
            <w:rStyle w:val="Hyperlink"/>
            <w:color w:val="000000"/>
            <w:sz w:val="20"/>
            <w:szCs w:val="20"/>
          </w:rPr>
          <w:t>, 466 So.2d 107 (Ala. 1985)</w:t>
        </w:r>
      </w:hyperlink>
      <w:r w:rsidRPr="00012E58">
        <w:rPr>
          <w:color w:val="000000"/>
          <w:sz w:val="20"/>
          <w:szCs w:val="20"/>
        </w:rPr>
        <w:t xml:space="preserve">:  </w:t>
      </w:r>
      <w:r>
        <w:rPr>
          <w:rStyle w:val="ssl41"/>
          <w:sz w:val="20"/>
          <w:szCs w:val="20"/>
        </w:rPr>
        <w:t>"</w:t>
      </w:r>
      <w:r w:rsidRPr="00012E58">
        <w:rPr>
          <w:rStyle w:val="ssl41"/>
          <w:sz w:val="20"/>
          <w:szCs w:val="20"/>
        </w:rPr>
        <w:t xml:space="preserve">In order that it may be a recoverable element of damages, the loss of profits must be the natural and proximate, or direct, result of the breach complained of and they must also be </w:t>
      </w:r>
      <w:r w:rsidRPr="00012E58">
        <w:rPr>
          <w:rStyle w:val="italic1"/>
          <w:color w:val="000000"/>
          <w:sz w:val="20"/>
          <w:szCs w:val="20"/>
        </w:rPr>
        <w:t>capable of ascertainment with reasonable, or sufficient, certainty, or there must be some basis on which a reasonable estimate of the amount of the profit can be made; absolute certainty is not called for or required</w:t>
      </w:r>
      <w:bookmarkStart w:id="51" w:name="PAGE_26_7010"/>
      <w:bookmarkEnd w:id="51"/>
      <w:r w:rsidRPr="00012E58">
        <w:rPr>
          <w:rStyle w:val="ssl41"/>
          <w:sz w:val="20"/>
          <w:szCs w:val="20"/>
        </w:rPr>
        <w:t xml:space="preserve">. </w:t>
      </w:r>
      <w:r>
        <w:rPr>
          <w:rStyle w:val="ssl41"/>
          <w:sz w:val="20"/>
          <w:szCs w:val="20"/>
        </w:rPr>
        <w:t xml:space="preserve"> </w:t>
      </w:r>
      <w:r w:rsidRPr="00012E58">
        <w:rPr>
          <w:sz w:val="20"/>
          <w:szCs w:val="20"/>
        </w:rPr>
        <w:t xml:space="preserve">This general rule is applied in most states, and is referred to as the rule of 'reasonable certainty.”. . . </w:t>
      </w:r>
    </w:p>
    <w:p w:rsidR="00032A5B" w:rsidRPr="00C85013" w:rsidRDefault="00032A5B" w:rsidP="00032A5B">
      <w:pPr>
        <w:ind w:left="225" w:right="225"/>
        <w:rPr>
          <w:color w:val="000000"/>
        </w:rPr>
      </w:pPr>
      <w:r w:rsidRPr="00012E58">
        <w:t>This Court's explicit rationale for applying the reasonable certainty rule was its recognition that to disallow damages for loss of reasonably certain future profits "would encourage breach of contract with ne</w:t>
      </w:r>
      <w:r w:rsidRPr="00C85013">
        <w:t>w businesses."</w:t>
      </w:r>
      <w:r>
        <w:t xml:space="preserve"> </w:t>
      </w:r>
      <w:smartTag w:uri="urn:schemas-microsoft-com:office:smarttags" w:element="State">
        <w:smartTag w:uri="urn:schemas-microsoft-com:office:smarttags" w:element="place">
          <w:r w:rsidRPr="00C85013">
            <w:rPr>
              <w:color w:val="000000"/>
            </w:rPr>
            <w:t>Alabama</w:t>
          </w:r>
        </w:smartTag>
      </w:smartTag>
      <w:r w:rsidRPr="00C85013">
        <w:rPr>
          <w:color w:val="000000"/>
        </w:rPr>
        <w:t xml:space="preserve"> jury verdicts awarding lost profits will be affirmed if the plaintiff provides a "basis upon which the jury could, with </w:t>
      </w:r>
      <w:r w:rsidRPr="00C85013">
        <w:rPr>
          <w:rStyle w:val="italic1"/>
          <w:color w:val="000000"/>
        </w:rPr>
        <w:t>reasonable</w:t>
      </w:r>
      <w:r w:rsidRPr="00C85013">
        <w:rPr>
          <w:color w:val="000000"/>
        </w:rPr>
        <w:t xml:space="preserve"> certainty, calculate the amount of profits which were lost as a result of" defendant's wrongful actions. </w:t>
      </w:r>
      <w:r>
        <w:rPr>
          <w:color w:val="000000"/>
        </w:rPr>
        <w:t xml:space="preserve">. . .  </w:t>
      </w:r>
    </w:p>
    <w:p w:rsidR="00032A5B" w:rsidRPr="00C85013" w:rsidRDefault="00032A5B" w:rsidP="00032A5B">
      <w:pPr>
        <w:pStyle w:val="loose"/>
        <w:ind w:left="225" w:right="225"/>
        <w:rPr>
          <w:color w:val="000000"/>
          <w:sz w:val="20"/>
          <w:szCs w:val="20"/>
        </w:rPr>
      </w:pPr>
      <w:r>
        <w:rPr>
          <w:color w:val="000000"/>
          <w:sz w:val="20"/>
          <w:szCs w:val="20"/>
        </w:rPr>
        <w:t>T</w:t>
      </w:r>
      <w:r w:rsidRPr="00C85013">
        <w:rPr>
          <w:color w:val="000000"/>
          <w:sz w:val="20"/>
          <w:szCs w:val="20"/>
        </w:rPr>
        <w:t xml:space="preserve">he weight of modern authority does not predicate recovery of lost profits upon the artificial categorization of a business as "unestablished," "existing," or "new," particularly where the defendant itself has wrongfully prevented the business from coming into existence and generating a track record of profits. </w:t>
      </w:r>
      <w:r>
        <w:rPr>
          <w:color w:val="000000"/>
          <w:sz w:val="20"/>
          <w:szCs w:val="20"/>
        </w:rPr>
        <w:t xml:space="preserve"> </w:t>
      </w:r>
      <w:r w:rsidRPr="00C85013">
        <w:rPr>
          <w:color w:val="000000"/>
          <w:sz w:val="20"/>
          <w:szCs w:val="20"/>
        </w:rPr>
        <w:t xml:space="preserve">Instead, the courts focus on whether the plaintiff has adduced evidence that provides a basis from which the jury could with "reasonable certainty" calculate the amount of lost profits. </w:t>
      </w:r>
      <w:r>
        <w:rPr>
          <w:color w:val="000000"/>
          <w:sz w:val="20"/>
          <w:szCs w:val="20"/>
        </w:rPr>
        <w:t xml:space="preserve">. . </w:t>
      </w:r>
    </w:p>
    <w:p w:rsidR="00032A5B" w:rsidRPr="00C85013" w:rsidRDefault="00032A5B" w:rsidP="00032A5B">
      <w:pPr>
        <w:pStyle w:val="loose"/>
        <w:ind w:left="225" w:right="225"/>
        <w:rPr>
          <w:color w:val="000000"/>
          <w:sz w:val="20"/>
          <w:szCs w:val="20"/>
        </w:rPr>
      </w:pPr>
      <w:r w:rsidRPr="00C85013">
        <w:rPr>
          <w:color w:val="000000"/>
          <w:sz w:val="20"/>
          <w:szCs w:val="20"/>
        </w:rPr>
        <w:t xml:space="preserve">The fundamental basis for Peterson's evidence as to damages was </w:t>
      </w:r>
      <w:r w:rsidRPr="00C85013">
        <w:rPr>
          <w:rStyle w:val="italic1"/>
          <w:color w:val="000000"/>
          <w:sz w:val="20"/>
          <w:szCs w:val="20"/>
        </w:rPr>
        <w:t>Super Valu's own projections of profits</w:t>
      </w:r>
      <w:r w:rsidRPr="00C85013">
        <w:rPr>
          <w:color w:val="000000"/>
          <w:sz w:val="20"/>
          <w:szCs w:val="20"/>
        </w:rPr>
        <w:t xml:space="preserve">, produced in its normal course of business long before this dispute arose. These projections were the product of an intense, exhaustive process involving many different Super Valu personnel. </w:t>
      </w:r>
      <w:r>
        <w:rPr>
          <w:color w:val="000000"/>
          <w:sz w:val="20"/>
          <w:szCs w:val="20"/>
        </w:rPr>
        <w:t xml:space="preserve"> </w:t>
      </w:r>
      <w:r w:rsidRPr="00C85013">
        <w:rPr>
          <w:color w:val="000000"/>
          <w:sz w:val="20"/>
          <w:szCs w:val="20"/>
        </w:rPr>
        <w:t>Super</w:t>
      </w:r>
      <w:bookmarkStart w:id="52" w:name="PAGE_36_7010"/>
      <w:bookmarkEnd w:id="52"/>
      <w:r w:rsidRPr="00C85013">
        <w:rPr>
          <w:color w:val="000000"/>
          <w:sz w:val="20"/>
          <w:szCs w:val="20"/>
        </w:rPr>
        <w:t xml:space="preserve"> Valu's projections resulted from the application of a scientific methodology that for many years had accurately predicted the future performance of stores associated with Super Valu. These projections were also based upon the prior successful performance of the Super Valu business system, of which the Oxford County Market would have become a standardized part. The jury could have found that Super Valu and Peterson relied upon these profit projections in making their initial decision to go forward with the Oxford County Market store. Super Valu's three-year profit projections were analyzed and extended by Peterson's expert market analyst. Peterson's expert used Super Valu's figures as a base in order to make further profit projections for the 12 subsequent years of the 15-year lease that Super Valu had allegedly agreed to grant Peterson. This evidence was sufficient, in our judgment, to satisfy the "reasonable certainty" standard established in </w:t>
      </w:r>
      <w:smartTag w:uri="urn:schemas-microsoft-com:office:smarttags" w:element="State">
        <w:smartTag w:uri="urn:schemas-microsoft-com:office:smarttags" w:element="place">
          <w:r w:rsidRPr="00C85013">
            <w:rPr>
              <w:color w:val="000000"/>
              <w:sz w:val="20"/>
              <w:szCs w:val="20"/>
            </w:rPr>
            <w:t>Alabama</w:t>
          </w:r>
        </w:smartTag>
      </w:smartTag>
      <w:r w:rsidRPr="00C85013">
        <w:rPr>
          <w:color w:val="000000"/>
          <w:sz w:val="20"/>
          <w:szCs w:val="20"/>
        </w:rPr>
        <w:t xml:space="preserve"> law for satisfactory proof of lost profits.</w:t>
      </w:r>
    </w:p>
    <w:p w:rsidR="00032A5B" w:rsidRPr="00C85013" w:rsidRDefault="00032A5B" w:rsidP="00032A5B">
      <w:pPr>
        <w:pStyle w:val="loose"/>
        <w:ind w:left="225" w:right="225"/>
        <w:rPr>
          <w:color w:val="000000"/>
          <w:sz w:val="20"/>
          <w:szCs w:val="20"/>
        </w:rPr>
      </w:pPr>
      <w:r w:rsidRPr="00C85013">
        <w:rPr>
          <w:color w:val="000000"/>
          <w:sz w:val="20"/>
          <w:szCs w:val="20"/>
        </w:rPr>
        <w:t>In considering claims by unestablished or new businesses for lost profits, courts have consistently given special deference to a party's pre-dispute projections of anticipated</w:t>
      </w:r>
      <w:bookmarkStart w:id="53" w:name="PAGE_37_7010"/>
      <w:bookmarkEnd w:id="53"/>
      <w:r w:rsidRPr="00C85013">
        <w:rPr>
          <w:color w:val="000000"/>
          <w:sz w:val="20"/>
          <w:szCs w:val="20"/>
        </w:rPr>
        <w:t>  profits. . . .</w:t>
      </w:r>
      <w:bookmarkStart w:id="54" w:name="clsccl8"/>
      <w:bookmarkEnd w:id="54"/>
      <w:r>
        <w:rPr>
          <w:color w:val="000000"/>
          <w:sz w:val="20"/>
          <w:szCs w:val="20"/>
        </w:rPr>
        <w:t xml:space="preserve">   </w:t>
      </w:r>
      <w:r w:rsidRPr="00C85013">
        <w:rPr>
          <w:color w:val="000000"/>
          <w:sz w:val="20"/>
          <w:szCs w:val="20"/>
        </w:rPr>
        <w:t>The courts have permitted pre-dispute projections to be extrapolated into future years in order to determine the full measure of lost profits. . . .    These cases provide strong support for the upholding of the jury verdict for Peterson. Here, Super Valu developed projections as to the anticipated profits that Peterson would earn from the Oxford County Market. . . .  Using a methodology embraced by the courts, Peterson's expert used Super Valu's own calculations and extrapolated those projections into future years to determine the full measure</w:t>
      </w:r>
      <w:bookmarkStart w:id="55" w:name="PAGE_40_7010"/>
      <w:bookmarkEnd w:id="55"/>
      <w:r w:rsidRPr="00C85013">
        <w:rPr>
          <w:color w:val="000000"/>
          <w:sz w:val="20"/>
          <w:szCs w:val="20"/>
        </w:rPr>
        <w:t xml:space="preserve"> of lost profits. </w:t>
      </w:r>
    </w:p>
    <w:p w:rsidR="00032A5B" w:rsidRPr="00C85013" w:rsidRDefault="00032A5B" w:rsidP="00032A5B">
      <w:pPr>
        <w:pStyle w:val="loose"/>
        <w:ind w:left="225" w:right="225"/>
        <w:rPr>
          <w:color w:val="000000"/>
          <w:sz w:val="20"/>
          <w:szCs w:val="20"/>
        </w:rPr>
      </w:pPr>
      <w:r w:rsidRPr="00C85013">
        <w:rPr>
          <w:color w:val="000000"/>
          <w:sz w:val="20"/>
          <w:szCs w:val="20"/>
        </w:rPr>
        <w:t xml:space="preserve">Introduced into evidence was Super Valu's description of the proven accuracy of its sales projections, as follows: </w:t>
      </w:r>
    </w:p>
    <w:p w:rsidR="00032A5B" w:rsidRPr="003A3780" w:rsidRDefault="00032A5B" w:rsidP="00032A5B">
      <w:pPr>
        <w:ind w:left="225" w:right="225"/>
        <w:rPr>
          <w:color w:val="000000"/>
        </w:rPr>
      </w:pPr>
      <w:r w:rsidRPr="00C85013">
        <w:rPr>
          <w:rStyle w:val="ssl41"/>
        </w:rPr>
        <w:t xml:space="preserve">"[Super Valu's team] produces an </w:t>
      </w:r>
      <w:r w:rsidRPr="00C85013">
        <w:rPr>
          <w:rStyle w:val="italic1"/>
          <w:color w:val="000000"/>
        </w:rPr>
        <w:t>extremely accurate</w:t>
      </w:r>
      <w:r w:rsidRPr="00C85013">
        <w:rPr>
          <w:rStyle w:val="ssl41"/>
        </w:rPr>
        <w:t xml:space="preserve"> site evaluation report. This team service takes the uncertainty out of expansion, accurately forecasts sales for new or existing supermarkets, [tells] the most profitable store size, estimates the dollar sales that will transfer from existing sister stores, identifies current market position for all supermarkets in an area. . . [and] predicts sales changes for long term. . . . </w:t>
      </w:r>
      <w:r>
        <w:rPr>
          <w:rStyle w:val="ssl41"/>
        </w:rPr>
        <w:t>Thes</w:t>
      </w:r>
      <w:r w:rsidRPr="003A3780">
        <w:rPr>
          <w:rStyle w:val="ssl41"/>
        </w:rPr>
        <w:t>e techniques make it possible for Super Valu market analysts to make accurate forecasts for any site, for any type of supermarket, in any part of the country."</w:t>
      </w:r>
    </w:p>
    <w:p w:rsidR="00032A5B" w:rsidRPr="003A3780" w:rsidRDefault="00032A5B" w:rsidP="00032A5B">
      <w:pPr>
        <w:ind w:left="225" w:right="225"/>
        <w:rPr>
          <w:rStyle w:val="verdana1"/>
          <w:rFonts w:ascii="Times New Roman" w:hAnsi="Times New Roman"/>
          <w:color w:val="000000"/>
        </w:rPr>
      </w:pPr>
    </w:p>
    <w:p w:rsidR="00032A5B" w:rsidRPr="003A3780" w:rsidRDefault="00032A5B" w:rsidP="00032A5B">
      <w:pPr>
        <w:ind w:left="225" w:right="225"/>
        <w:rPr>
          <w:rStyle w:val="verdana1"/>
          <w:rFonts w:ascii="Times New Roman" w:hAnsi="Times New Roman"/>
        </w:rPr>
      </w:pPr>
      <w:r w:rsidRPr="003A3780">
        <w:rPr>
          <w:rStyle w:val="verdana1"/>
          <w:rFonts w:ascii="Times New Roman" w:hAnsi="Times New Roman"/>
          <w:color w:val="000000"/>
        </w:rPr>
        <w:t xml:space="preserve">The jury could have found that Super Valu's comments concerning the accuracy of its projections were well-founded in fact, because there was evidence that Super Valu conducted follow-up reports comparing actual performance to the </w:t>
      </w:r>
      <w:r w:rsidRPr="003A3780">
        <w:rPr>
          <w:rStyle w:val="verdana1"/>
          <w:rFonts w:ascii="Times New Roman" w:hAnsi="Times New Roman"/>
          <w:color w:val="000000"/>
        </w:rPr>
        <w:lastRenderedPageBreak/>
        <w:t>sales projections. Total</w:t>
      </w:r>
      <w:bookmarkStart w:id="56" w:name="PAGE_41_7010"/>
      <w:bookmarkEnd w:id="56"/>
      <w:r w:rsidRPr="003A3780">
        <w:rPr>
          <w:rStyle w:val="verdana1"/>
          <w:rFonts w:ascii="Times New Roman" w:hAnsi="Times New Roman"/>
          <w:color w:val="000000"/>
        </w:rPr>
        <w:t xml:space="preserve"> actual sales as a percentage of projected sales for the category of "stores in new buildings" ranged from 92.1% to 125.6%. </w:t>
      </w:r>
    </w:p>
    <w:p w:rsidR="00032A5B" w:rsidRPr="00C85013" w:rsidRDefault="00032A5B" w:rsidP="00032A5B">
      <w:pPr>
        <w:pStyle w:val="loose"/>
        <w:ind w:left="225" w:right="225"/>
        <w:rPr>
          <w:sz w:val="20"/>
          <w:szCs w:val="20"/>
        </w:rPr>
      </w:pPr>
      <w:r w:rsidRPr="003A3780">
        <w:rPr>
          <w:color w:val="000000"/>
          <w:sz w:val="20"/>
          <w:szCs w:val="20"/>
        </w:rPr>
        <w:t>Applying its proven research and analytical techniques to the proposed Oxford County Market, Super Valu concluded that the n</w:t>
      </w:r>
      <w:r w:rsidRPr="00C85013">
        <w:rPr>
          <w:color w:val="000000"/>
          <w:sz w:val="20"/>
          <w:szCs w:val="20"/>
        </w:rPr>
        <w:t>ew store would achieve average weekly sales of $377,160, $433,734, and $471,450 in its first three years of operation. One of Super Valu's employees acknowledged that the analysis was "good, solid" and had been performed in the customary manner. Based on its extensive research and lengthy reports, Super Valu concluded that the "</w:t>
      </w:r>
      <w:smartTag w:uri="urn:schemas-microsoft-com:office:smarttags" w:element="place">
        <w:smartTag w:uri="urn:schemas-microsoft-com:office:smarttags" w:element="PlaceType">
          <w:r w:rsidRPr="00C85013">
            <w:rPr>
              <w:color w:val="000000"/>
              <w:sz w:val="20"/>
              <w:szCs w:val="20"/>
            </w:rPr>
            <w:t>County</w:t>
          </w:r>
        </w:smartTag>
        <w:r w:rsidRPr="00C85013">
          <w:rPr>
            <w:color w:val="000000"/>
            <w:sz w:val="20"/>
            <w:szCs w:val="20"/>
          </w:rPr>
          <w:t xml:space="preserve"> </w:t>
        </w:r>
        <w:smartTag w:uri="urn:schemas-microsoft-com:office:smarttags" w:element="PlaceName">
          <w:r w:rsidRPr="00C85013">
            <w:rPr>
              <w:color w:val="000000"/>
              <w:sz w:val="20"/>
              <w:szCs w:val="20"/>
            </w:rPr>
            <w:t>Market</w:t>
          </w:r>
        </w:smartTag>
      </w:smartTag>
      <w:r w:rsidRPr="00C85013">
        <w:rPr>
          <w:color w:val="000000"/>
          <w:sz w:val="20"/>
          <w:szCs w:val="20"/>
        </w:rPr>
        <w:t xml:space="preserve"> for Anniston/Oxford looks like a winner." </w:t>
      </w:r>
    </w:p>
    <w:p w:rsidR="00032A5B" w:rsidRPr="00C85013" w:rsidRDefault="00032A5B" w:rsidP="00032A5B">
      <w:pPr>
        <w:pStyle w:val="loose"/>
        <w:ind w:left="225" w:right="225"/>
        <w:rPr>
          <w:color w:val="000000"/>
          <w:sz w:val="20"/>
          <w:szCs w:val="20"/>
        </w:rPr>
      </w:pPr>
      <w:r w:rsidRPr="00C85013">
        <w:rPr>
          <w:color w:val="000000"/>
          <w:sz w:val="20"/>
          <w:szCs w:val="20"/>
        </w:rPr>
        <w:t xml:space="preserve">Super Valu's sales projections for the Oxford County Market were incorporated into a </w:t>
      </w:r>
      <w:r w:rsidRPr="00C85013">
        <w:rPr>
          <w:rStyle w:val="italic1"/>
          <w:color w:val="000000"/>
          <w:sz w:val="20"/>
          <w:szCs w:val="20"/>
        </w:rPr>
        <w:t>pro forma</w:t>
      </w:r>
      <w:r w:rsidRPr="00C85013">
        <w:rPr>
          <w:color w:val="000000"/>
          <w:sz w:val="20"/>
          <w:szCs w:val="20"/>
        </w:rPr>
        <w:t xml:space="preserve"> profit and loss statement for the proposed store. Before this dispute arose, Super Valu generated its </w:t>
      </w:r>
      <w:r w:rsidRPr="00C85013">
        <w:rPr>
          <w:rStyle w:val="italic1"/>
          <w:color w:val="000000"/>
          <w:sz w:val="20"/>
          <w:szCs w:val="20"/>
        </w:rPr>
        <w:t>pro forma</w:t>
      </w:r>
      <w:r w:rsidRPr="00C85013">
        <w:rPr>
          <w:color w:val="000000"/>
          <w:sz w:val="20"/>
          <w:szCs w:val="20"/>
        </w:rPr>
        <w:t xml:space="preserve"> profit and loss statement for the purpose of deciding whether to enter a contract with Peterson. Super Valu's own </w:t>
      </w:r>
      <w:r w:rsidRPr="00C85013">
        <w:rPr>
          <w:rStyle w:val="italic1"/>
          <w:color w:val="000000"/>
          <w:sz w:val="20"/>
          <w:szCs w:val="20"/>
        </w:rPr>
        <w:t>pro forma</w:t>
      </w:r>
      <w:bookmarkStart w:id="57" w:name="PAGE_332_4962"/>
      <w:bookmarkEnd w:id="57"/>
      <w:r w:rsidRPr="00C85013">
        <w:rPr>
          <w:color w:val="000000"/>
          <w:sz w:val="20"/>
          <w:szCs w:val="20"/>
        </w:rPr>
        <w:t xml:space="preserve"> statement projected profits of $124,684, $619,267 and $750,198 during the first three years of operation of the Oxford County Market. Super Valu's director of market analysis expressly acknowledged that this</w:t>
      </w:r>
      <w:bookmarkStart w:id="58" w:name="PAGE_42_7010"/>
      <w:bookmarkEnd w:id="58"/>
      <w:r w:rsidRPr="00C85013">
        <w:rPr>
          <w:color w:val="000000"/>
          <w:sz w:val="20"/>
          <w:szCs w:val="20"/>
        </w:rPr>
        <w:t> </w:t>
      </w:r>
      <w:r w:rsidRPr="00C85013">
        <w:rPr>
          <w:rStyle w:val="italic1"/>
          <w:color w:val="000000"/>
          <w:sz w:val="20"/>
          <w:szCs w:val="20"/>
        </w:rPr>
        <w:t>pro forma</w:t>
      </w:r>
      <w:r w:rsidRPr="00C85013">
        <w:rPr>
          <w:color w:val="000000"/>
          <w:sz w:val="20"/>
          <w:szCs w:val="20"/>
        </w:rPr>
        <w:t xml:space="preserve"> statement was "reasonable" and saw no reason to challenge its bottom line figures.</w:t>
      </w:r>
    </w:p>
    <w:p w:rsidR="00032A5B" w:rsidRPr="00C85013" w:rsidRDefault="00032A5B" w:rsidP="00032A5B">
      <w:pPr>
        <w:pStyle w:val="loose"/>
        <w:ind w:left="225" w:right="225"/>
        <w:rPr>
          <w:color w:val="000000"/>
          <w:sz w:val="20"/>
          <w:szCs w:val="20"/>
        </w:rPr>
      </w:pPr>
      <w:r w:rsidRPr="00C85013">
        <w:rPr>
          <w:color w:val="000000"/>
          <w:sz w:val="20"/>
          <w:szCs w:val="20"/>
        </w:rPr>
        <w:t>As already stated, Peterson's market expert relied on Super Valu's pre-dispute profit projections and extrapolated those figures through the full term of the 15-year lease. The projected profits for the 15-year l</w:t>
      </w:r>
      <w:r>
        <w:rPr>
          <w:color w:val="000000"/>
          <w:sz w:val="20"/>
          <w:szCs w:val="20"/>
        </w:rPr>
        <w:t>ease term totaled over $</w:t>
      </w:r>
      <w:r w:rsidRPr="00C85013">
        <w:rPr>
          <w:color w:val="000000"/>
          <w:sz w:val="20"/>
          <w:szCs w:val="20"/>
        </w:rPr>
        <w:t xml:space="preserve">19 million. Peterson's market expert testified that the profit projections provided a "reasonably certain" basis for calculating lost profits for the Oxford County Market. . . . </w:t>
      </w:r>
    </w:p>
    <w:p w:rsidR="00032A5B" w:rsidRPr="00B43A02" w:rsidRDefault="00032A5B" w:rsidP="00032A5B">
      <w:pPr>
        <w:pStyle w:val="loose"/>
        <w:ind w:left="225" w:right="225"/>
        <w:rPr>
          <w:color w:val="000000"/>
          <w:sz w:val="20"/>
          <w:szCs w:val="20"/>
        </w:rPr>
      </w:pPr>
      <w:r w:rsidRPr="00B43A02">
        <w:rPr>
          <w:color w:val="000000"/>
          <w:sz w:val="20"/>
          <w:szCs w:val="20"/>
        </w:rPr>
        <w:t>We are of the opinion that the jury verdict of $5 million was supported by credible evidence. . . .</w:t>
      </w:r>
    </w:p>
    <w:p w:rsidR="00032A5B" w:rsidRPr="00B43A02" w:rsidRDefault="00032A5B" w:rsidP="00032A5B">
      <w:pPr>
        <w:pStyle w:val="loose"/>
        <w:ind w:left="225" w:right="225"/>
        <w:rPr>
          <w:sz w:val="20"/>
          <w:szCs w:val="20"/>
        </w:rPr>
      </w:pPr>
      <w:bookmarkStart w:id="59" w:name="PAGE_68_7010"/>
      <w:bookmarkEnd w:id="59"/>
      <w:r w:rsidRPr="00B43A02">
        <w:rPr>
          <w:sz w:val="20"/>
          <w:szCs w:val="20"/>
        </w:rPr>
        <w:t>The judgment of the trial court is due to be, and it hereby is, affirmed.</w:t>
      </w:r>
    </w:p>
    <w:p w:rsidR="00032A5B" w:rsidRDefault="00032A5B" w:rsidP="00032A5B">
      <w:r w:rsidRPr="00B43A02">
        <w:t>AFFIRMED.</w:t>
      </w:r>
      <w:r>
        <w:br w:type="page"/>
      </w:r>
    </w:p>
    <w:p w:rsidR="00032A5B" w:rsidRDefault="00032A5B" w:rsidP="00032A5B">
      <w:pPr>
        <w:ind w:left="75"/>
        <w:jc w:val="center"/>
      </w:pPr>
      <w:r>
        <w:lastRenderedPageBreak/>
        <w:t>KEITH M. SHARICK, Appellant, vs. SOUTHEASTERN UNIVERSITY OF THE HEALTH SCIENCES, INC., d/b/a COLLEGE OF OSTEOPATHIC MEDICINE, Appellee.</w:t>
      </w:r>
    </w:p>
    <w:p w:rsidR="00032A5B" w:rsidRDefault="00032A5B" w:rsidP="00032A5B">
      <w:pPr>
        <w:ind w:left="75"/>
        <w:jc w:val="center"/>
      </w:pPr>
    </w:p>
    <w:p w:rsidR="00032A5B" w:rsidRDefault="00032A5B" w:rsidP="00032A5B">
      <w:pPr>
        <w:ind w:left="75"/>
        <w:jc w:val="center"/>
      </w:pPr>
      <w:r>
        <w:t xml:space="preserve">Court of Appeal of </w:t>
      </w:r>
      <w:smartTag w:uri="urn:schemas-microsoft-com:office:smarttags" w:element="State">
        <w:smartTag w:uri="urn:schemas-microsoft-com:office:smarttags" w:element="place">
          <w:r>
            <w:t>Florida</w:t>
          </w:r>
        </w:smartTag>
      </w:smartTag>
      <w:r>
        <w:t>, Third District</w:t>
      </w:r>
    </w:p>
    <w:p w:rsidR="00032A5B" w:rsidRDefault="00032A5B" w:rsidP="00032A5B">
      <w:pPr>
        <w:ind w:left="75"/>
        <w:jc w:val="center"/>
      </w:pPr>
    </w:p>
    <w:p w:rsidR="00032A5B" w:rsidRDefault="00032A5B" w:rsidP="00032A5B">
      <w:pPr>
        <w:ind w:left="75"/>
        <w:jc w:val="center"/>
      </w:pPr>
      <w:r>
        <w:t>780 So. 2d 142</w:t>
      </w:r>
    </w:p>
    <w:p w:rsidR="00032A5B" w:rsidRDefault="00032A5B" w:rsidP="00032A5B">
      <w:pPr>
        <w:ind w:left="75"/>
        <w:jc w:val="center"/>
      </w:pPr>
      <w:smartTag w:uri="urn:schemas-microsoft-com:office:smarttags" w:element="date">
        <w:smartTagPr>
          <w:attr w:name="Month" w:val="4"/>
          <w:attr w:name="Day" w:val="4"/>
          <w:attr w:name="Year" w:val="2001"/>
        </w:smartTagPr>
        <w:r>
          <w:t>April 4, 2001</w:t>
        </w:r>
      </w:smartTag>
      <w:r>
        <w:t>, Opinion Filed</w:t>
      </w:r>
    </w:p>
    <w:p w:rsidR="00032A5B" w:rsidRDefault="00032A5B" w:rsidP="00032A5B">
      <w:pPr>
        <w:pStyle w:val="NormalWeb"/>
        <w:ind w:left="75"/>
        <w:rPr>
          <w:sz w:val="20"/>
        </w:rPr>
      </w:pPr>
    </w:p>
    <w:p w:rsidR="00032A5B" w:rsidRPr="001426A6" w:rsidRDefault="00032A5B" w:rsidP="00032A5B">
      <w:pPr>
        <w:pStyle w:val="NormalWeb"/>
        <w:ind w:left="75"/>
        <w:rPr>
          <w:sz w:val="20"/>
          <w:szCs w:val="20"/>
        </w:rPr>
      </w:pPr>
      <w:r>
        <w:rPr>
          <w:sz w:val="20"/>
        </w:rPr>
        <w:t xml:space="preserve">JUDGES:  SCHWARTZ, C.J., and SHEVIN and SORONDO, JJ. SCHWARTZ, C.J., and GODERICH, FLETCHER, SHEVIN, SORONDO and RAMIREZ, JJ., concur. RAMIREZ, J. (concurring).  LEVY, Judge </w:t>
      </w:r>
      <w:r w:rsidRPr="001426A6">
        <w:rPr>
          <w:sz w:val="20"/>
          <w:szCs w:val="20"/>
        </w:rPr>
        <w:t xml:space="preserve">(dissenting). JORGENSON, GERSTEN and GREEN, JJ., concur.   Judge Cope is recused. </w:t>
      </w:r>
    </w:p>
    <w:p w:rsidR="00032A5B" w:rsidRPr="001426A6" w:rsidRDefault="00032A5B" w:rsidP="00032A5B">
      <w:pPr>
        <w:pStyle w:val="NormalWeb"/>
        <w:ind w:left="75"/>
        <w:rPr>
          <w:sz w:val="20"/>
          <w:szCs w:val="20"/>
        </w:rPr>
      </w:pPr>
      <w:r w:rsidRPr="001426A6">
        <w:rPr>
          <w:sz w:val="20"/>
          <w:szCs w:val="20"/>
        </w:rPr>
        <w:t xml:space="preserve">Keith M. Sharick, a fourth-year medical student, was dismissed from the College of Osteopathic Medicine (Southeastern), when he was given a failing grade in the final course he required for graduation, a rural rotation in general medicine at the Clewiston Community Health Center. Following several unsuccessful appeals within the university's review process, Sharick filed a complaint, which was amended several times, alleging multiple tort and contract claims against Southeastern. The only claim that ultimately went before the jury was breach of implied-in-fact contract. The trial court disallowed Sharick's claims for specific performance and past and future lost earning capacity and only permitted the jury to consider damages with respect to tuition expenses. The jury found for Sharick, concluding that Southeastern's decision to dismiss him was arbitrary, capricious, and/or lacking any discernable rational basis, and awarded a partial reimbursement of the tuition paid to Southeastern. </w:t>
      </w:r>
      <w:r>
        <w:rPr>
          <w:sz w:val="20"/>
          <w:szCs w:val="20"/>
        </w:rPr>
        <w:t xml:space="preserve"> </w:t>
      </w:r>
      <w:r w:rsidRPr="001426A6">
        <w:rPr>
          <w:sz w:val="20"/>
          <w:szCs w:val="20"/>
        </w:rPr>
        <w:t xml:space="preserve">Sharick now appeals, claiming that the trial court erred in denying him the right to plead and prove loss of future earning capacity. </w:t>
      </w:r>
      <w:r>
        <w:rPr>
          <w:sz w:val="20"/>
          <w:szCs w:val="20"/>
        </w:rPr>
        <w:t xml:space="preserve"> </w:t>
      </w:r>
      <w:r w:rsidRPr="001426A6">
        <w:rPr>
          <w:sz w:val="20"/>
          <w:szCs w:val="20"/>
        </w:rPr>
        <w:t>We reverse. . . .</w:t>
      </w:r>
    </w:p>
    <w:p w:rsidR="00032A5B" w:rsidRPr="001426A6" w:rsidRDefault="00032A5B" w:rsidP="00032A5B">
      <w:pPr>
        <w:pStyle w:val="NormalWeb"/>
        <w:ind w:left="75"/>
        <w:rPr>
          <w:sz w:val="20"/>
          <w:szCs w:val="20"/>
        </w:rPr>
      </w:pPr>
      <w:r w:rsidRPr="001426A6">
        <w:rPr>
          <w:sz w:val="20"/>
          <w:szCs w:val="20"/>
        </w:rPr>
        <w:t>In this case, the jury found that the university's decision to dismiss Sharick was arbitrary, capricious, and/or lacking any discernable rational basis. This determination is supported by competent, substantial evidence. Southeastern has not challenged the propriety of the adverse jury verdict on cross-appeal. Therefore, the sole issue presently before the court is the appropriate measure of damages for Sharick's wrongful dismissal less than two months prior to when he expected to graduate and ob</w:t>
      </w:r>
      <w:r>
        <w:rPr>
          <w:sz w:val="20"/>
          <w:szCs w:val="20"/>
        </w:rPr>
        <w:t xml:space="preserve">tain his degree as a doctor of </w:t>
      </w:r>
      <w:r w:rsidRPr="001426A6">
        <w:rPr>
          <w:sz w:val="20"/>
          <w:szCs w:val="20"/>
        </w:rPr>
        <w:t xml:space="preserve">osteopathic medicine (DO). </w:t>
      </w:r>
      <w:r>
        <w:rPr>
          <w:sz w:val="20"/>
          <w:szCs w:val="20"/>
        </w:rPr>
        <w:t>. . .</w:t>
      </w:r>
    </w:p>
    <w:p w:rsidR="00032A5B" w:rsidRPr="001426A6" w:rsidRDefault="00032A5B" w:rsidP="00032A5B">
      <w:pPr>
        <w:pStyle w:val="NormalWeb"/>
        <w:ind w:left="75"/>
        <w:rPr>
          <w:sz w:val="20"/>
          <w:szCs w:val="20"/>
        </w:rPr>
      </w:pPr>
      <w:r w:rsidRPr="001426A6">
        <w:rPr>
          <w:sz w:val="20"/>
          <w:szCs w:val="20"/>
        </w:rPr>
        <w:t xml:space="preserve">Southeastern's publications at the time of Sharick's enrollment clearly support this conclusion. The preface to the student handbook reflects that the "objective of the University is to offer . . . health care science training and education to its students with the purpose of developing competent physicians . . . who can serve in all areas of our region." The handbook proceeds to identify Southeastern endorsed organizations whose goal is to produce osteopathic physicians. The course of study is outlined as a "four year curriculum </w:t>
      </w:r>
      <w:r w:rsidRPr="001426A6">
        <w:rPr>
          <w:b/>
          <w:bCs/>
          <w:i/>
          <w:iCs/>
          <w:sz w:val="20"/>
          <w:szCs w:val="20"/>
        </w:rPr>
        <w:t>leading to the DO degree</w:t>
      </w:r>
      <w:r w:rsidRPr="001426A6">
        <w:rPr>
          <w:sz w:val="20"/>
          <w:szCs w:val="20"/>
        </w:rPr>
        <w:t>." (emphasis added). As such, the receipt of a DO degree upon the successful completion of Sharick's studies was reasonably within the contemplation of the parties at the time Sharick and Southeastern entered into their implied-in-fact contract.</w:t>
      </w:r>
      <w:r w:rsidRPr="001426A6">
        <w:rPr>
          <w:sz w:val="20"/>
          <w:szCs w:val="20"/>
        </w:rPr>
        <w:br/>
        <w:t> </w:t>
      </w:r>
      <w:r w:rsidRPr="001426A6">
        <w:rPr>
          <w:sz w:val="20"/>
          <w:szCs w:val="20"/>
        </w:rPr>
        <w:br/>
        <w:t>In valuing the loss of this degree within the context of an arbitrary, capricious or bad faith deprivation of such, we  conclude that it is appropriate to consider the possibility of lost future earnings. We agree with Sharick that the value of a professional degree, particularly to a prospective physician who has successfully completed the overwhelming majority of the academic and clinical requirements, significantly exceeds the tuition cost expended.</w:t>
      </w:r>
      <w:r>
        <w:rPr>
          <w:sz w:val="20"/>
          <w:szCs w:val="20"/>
        </w:rPr>
        <w:t xml:space="preserve">  </w:t>
      </w:r>
      <w:r w:rsidRPr="001426A6">
        <w:rPr>
          <w:sz w:val="20"/>
          <w:szCs w:val="20"/>
        </w:rPr>
        <w:t xml:space="preserve">Southeastern argues that recovery of anything beyond tuition reimbursement when a school dismisses a student from classes is precluded because any other damages would be too remote, contingent, conjectural and speculative and could not be established within a reasonable degree of certainty. . . </w:t>
      </w:r>
    </w:p>
    <w:p w:rsidR="00032A5B" w:rsidRPr="001426A6" w:rsidRDefault="00032A5B" w:rsidP="00032A5B">
      <w:pPr>
        <w:pStyle w:val="NormalWeb"/>
        <w:ind w:left="75"/>
        <w:rPr>
          <w:sz w:val="20"/>
          <w:szCs w:val="20"/>
        </w:rPr>
      </w:pPr>
      <w:r w:rsidRPr="001426A6">
        <w:rPr>
          <w:sz w:val="20"/>
          <w:szCs w:val="20"/>
        </w:rPr>
        <w:t>The record in this case establishes that but for Sharick's dismissal from the university, he would have obtained his DO degree some two months thereafter. As the fact of Sharick's damage as the result of Southeastern's breach of contract can be proved with certainty, we reverse and remand for a new trial on damages. Upon retrial, Sharick must be afforded the opportunity to plead and prove damages in the form of the loss of earning capacity that would reasonably have resulted had he received his DO degree. . . .</w:t>
      </w:r>
    </w:p>
    <w:p w:rsidR="00032A5B" w:rsidRDefault="00032A5B" w:rsidP="00032A5B">
      <w:pPr>
        <w:pStyle w:val="NormalWeb"/>
        <w:ind w:left="75"/>
        <w:rPr>
          <w:sz w:val="20"/>
        </w:rPr>
      </w:pPr>
      <w:r w:rsidRPr="001426A6">
        <w:rPr>
          <w:sz w:val="20"/>
          <w:szCs w:val="20"/>
        </w:rPr>
        <w:t>Accordingly, the extent or amount of the resulting impairment to Sharick's earning capacity may be determined by a jury based upon reasonable inference. Upon retrial, both parties are free to present evidence as to what impact Sharick's academic and clinical performance may have had upon his ultimate success as an osteopathic physician.</w:t>
      </w:r>
    </w:p>
    <w:p w:rsidR="00032A5B" w:rsidRDefault="00032A5B" w:rsidP="00032A5B">
      <w:pPr>
        <w:pStyle w:val="NormalWeb"/>
        <w:ind w:left="75"/>
        <w:rPr>
          <w:sz w:val="20"/>
        </w:rPr>
      </w:pPr>
      <w:r>
        <w:rPr>
          <w:sz w:val="20"/>
        </w:rPr>
        <w:lastRenderedPageBreak/>
        <w:t xml:space="preserve">RAMIREZ, J. (concurring). </w:t>
      </w:r>
    </w:p>
    <w:p w:rsidR="00032A5B" w:rsidRDefault="00032A5B" w:rsidP="00032A5B">
      <w:pPr>
        <w:pStyle w:val="NormalWeb"/>
        <w:ind w:left="75"/>
        <w:jc w:val="both"/>
        <w:rPr>
          <w:sz w:val="20"/>
        </w:rPr>
      </w:pPr>
      <w:r>
        <w:rPr>
          <w:sz w:val="20"/>
        </w:rPr>
        <w:t xml:space="preserve">I concur in the panel opinion in which we reverse and remand for a new trial on damages. I write separately only to address some of the arguments raised by the parties during en banc proceedings. </w:t>
      </w:r>
    </w:p>
    <w:p w:rsidR="00032A5B" w:rsidRDefault="00032A5B" w:rsidP="00032A5B">
      <w:pPr>
        <w:pStyle w:val="NormalWeb"/>
        <w:ind w:left="75"/>
        <w:jc w:val="both"/>
        <w:rPr>
          <w:sz w:val="20"/>
        </w:rPr>
      </w:pPr>
      <w:r>
        <w:rPr>
          <w:sz w:val="20"/>
        </w:rPr>
        <w:t xml:space="preserve">The judiciary has traditionally deferred to colleges and universities concerning decisions to deny degrees, certificates or academic credit. . . .  One of the vestiges of our past judicial deference is the current requirement that a student seeking redress for the denial of a degree or academic credit cannot prevail against a learning institution unless the school's behavior was arbitrary and capricious. Commentators uniformly agree that this is an extremely high burden.  In this case, that burden has been met; the jury found that </w:t>
      </w:r>
      <w:smartTag w:uri="urn:schemas-microsoft-com:office:smarttags" w:element="place">
        <w:smartTag w:uri="urn:schemas-microsoft-com:office:smarttags" w:element="PlaceName">
          <w:r>
            <w:rPr>
              <w:sz w:val="20"/>
            </w:rPr>
            <w:t>Southeastern</w:t>
          </w:r>
        </w:smartTag>
        <w:r>
          <w:rPr>
            <w:sz w:val="20"/>
          </w:rPr>
          <w:t xml:space="preserve"> </w:t>
        </w:r>
        <w:smartTag w:uri="urn:schemas-microsoft-com:office:smarttags" w:element="PlaceType">
          <w:r>
            <w:rPr>
              <w:sz w:val="20"/>
            </w:rPr>
            <w:t>University</w:t>
          </w:r>
        </w:smartTag>
      </w:smartTag>
      <w:r>
        <w:rPr>
          <w:sz w:val="20"/>
        </w:rPr>
        <w:t xml:space="preserve"> acted arbitrarily and capriciously, and </w:t>
      </w:r>
      <w:smartTag w:uri="urn:schemas-microsoft-com:office:smarttags" w:element="place">
        <w:smartTag w:uri="urn:schemas-microsoft-com:office:smarttags" w:element="PlaceName">
          <w:r>
            <w:rPr>
              <w:sz w:val="20"/>
            </w:rPr>
            <w:t>Southeastern</w:t>
          </w:r>
        </w:smartTag>
        <w:r>
          <w:rPr>
            <w:sz w:val="20"/>
          </w:rPr>
          <w:t xml:space="preserve"> </w:t>
        </w:r>
        <w:smartTag w:uri="urn:schemas-microsoft-com:office:smarttags" w:element="PlaceType">
          <w:r>
            <w:rPr>
              <w:sz w:val="20"/>
            </w:rPr>
            <w:t>University</w:t>
          </w:r>
        </w:smartTag>
      </w:smartTag>
      <w:r>
        <w:rPr>
          <w:sz w:val="20"/>
        </w:rPr>
        <w:t xml:space="preserve"> has not challenged that finding.  The issue now devolves into a determination of damages.</w:t>
      </w:r>
    </w:p>
    <w:p w:rsidR="00032A5B" w:rsidRDefault="00032A5B" w:rsidP="00032A5B">
      <w:pPr>
        <w:pStyle w:val="NormalWeb"/>
        <w:ind w:left="75"/>
        <w:jc w:val="both"/>
        <w:rPr>
          <w:sz w:val="20"/>
        </w:rPr>
      </w:pPr>
      <w:r>
        <w:rPr>
          <w:sz w:val="20"/>
        </w:rPr>
        <w:t xml:space="preserve">The panel opinion here does not suggest that we should assume that Sharick would have completed all his degree requirements.  Rather, this Court would require Sharick to prove that he would in fact have graduated but for </w:t>
      </w:r>
      <w:smartTag w:uri="urn:schemas-microsoft-com:office:smarttags" w:element="place">
        <w:smartTag w:uri="urn:schemas-microsoft-com:office:smarttags" w:element="PlaceName">
          <w:r>
            <w:rPr>
              <w:sz w:val="20"/>
            </w:rPr>
            <w:t>Southeastern</w:t>
          </w:r>
        </w:smartTag>
        <w:r>
          <w:rPr>
            <w:sz w:val="20"/>
          </w:rPr>
          <w:t xml:space="preserve"> </w:t>
        </w:r>
        <w:smartTag w:uri="urn:schemas-microsoft-com:office:smarttags" w:element="PlaceType">
          <w:r>
            <w:rPr>
              <w:sz w:val="20"/>
            </w:rPr>
            <w:t>University</w:t>
          </w:r>
        </w:smartTag>
      </w:smartTag>
      <w:r>
        <w:rPr>
          <w:sz w:val="20"/>
        </w:rPr>
        <w:t xml:space="preserve">'s arbitrary and capricious behavior. </w:t>
      </w:r>
    </w:p>
    <w:p w:rsidR="00032A5B" w:rsidRDefault="00032A5B" w:rsidP="00032A5B">
      <w:pPr>
        <w:pStyle w:val="NormalWeb"/>
        <w:ind w:left="75"/>
        <w:jc w:val="both"/>
        <w:rPr>
          <w:sz w:val="20"/>
        </w:rPr>
      </w:pPr>
      <w:r>
        <w:rPr>
          <w:sz w:val="20"/>
        </w:rPr>
        <w:t xml:space="preserve">In this case, Sharick did have a contractual relationship with </w:t>
      </w:r>
      <w:smartTag w:uri="urn:schemas-microsoft-com:office:smarttags" w:element="place">
        <w:smartTag w:uri="urn:schemas-microsoft-com:office:smarttags" w:element="PlaceName">
          <w:r>
            <w:rPr>
              <w:sz w:val="20"/>
            </w:rPr>
            <w:t>Southeastern</w:t>
          </w:r>
        </w:smartTag>
        <w:r>
          <w:rPr>
            <w:sz w:val="20"/>
          </w:rPr>
          <w:t xml:space="preserve"> </w:t>
        </w:r>
        <w:smartTag w:uri="urn:schemas-microsoft-com:office:smarttags" w:element="PlaceType">
          <w:r>
            <w:rPr>
              <w:sz w:val="20"/>
            </w:rPr>
            <w:t>University</w:t>
          </w:r>
        </w:smartTag>
      </w:smartTag>
      <w:r>
        <w:rPr>
          <w:sz w:val="20"/>
        </w:rPr>
        <w:t xml:space="preserve"> and the University arbitrarily and capriciously breached that contract.  Consequently, Sharick should be allowed to recover traditional breach of contract damages. . . . Ordinarily the remedy available in these circumstances would be reinstatement rather than damages.  It is, however, apparent that damages arising from a wrongful dismissal could in the proper case be alleged and be shown without an assumption that the academic requirements were met, but these elements would be quite different from the ones here asserted, and would look more like those applied in tort actions. </w:t>
      </w:r>
    </w:p>
    <w:p w:rsidR="00032A5B" w:rsidRDefault="00032A5B" w:rsidP="00032A5B">
      <w:pPr>
        <w:pStyle w:val="NormalWeb"/>
        <w:ind w:left="75"/>
        <w:jc w:val="both"/>
        <w:rPr>
          <w:sz w:val="20"/>
        </w:rPr>
      </w:pPr>
      <w:r>
        <w:rPr>
          <w:sz w:val="20"/>
        </w:rPr>
        <w:t xml:space="preserve">The best analogy to Sharick's situation can be found in cases where new businesses assert lost profits as consequential damages for breach of contract.  Both the panel decision and the dissent discuss the </w:t>
      </w:r>
      <w:smartTag w:uri="urn:schemas-microsoft-com:office:smarttags" w:element="State">
        <w:smartTag w:uri="urn:schemas-microsoft-com:office:smarttags" w:element="place">
          <w:r>
            <w:rPr>
              <w:sz w:val="20"/>
            </w:rPr>
            <w:t>Florida</w:t>
          </w:r>
        </w:smartTag>
      </w:smartTag>
      <w:r>
        <w:rPr>
          <w:sz w:val="20"/>
        </w:rPr>
        <w:t xml:space="preserve"> cases in this area, but an analysis of the cases in other jurisdictions indicates that the majority view allows a new business to seek lost profits using its best evidence. . . . </w:t>
      </w:r>
    </w:p>
    <w:p w:rsidR="00032A5B" w:rsidRDefault="00032A5B" w:rsidP="00032A5B">
      <w:pPr>
        <w:pStyle w:val="NormalWeb"/>
        <w:ind w:left="75"/>
        <w:jc w:val="both"/>
        <w:rPr>
          <w:sz w:val="20"/>
        </w:rPr>
      </w:pPr>
      <w:r>
        <w:rPr>
          <w:sz w:val="20"/>
        </w:rPr>
        <w:t xml:space="preserve">Until recently, the majority rule in this country prohibited a jury's verdict of damages for lost profits of a new business. . . .  These cases were generally decided on the basis that loss of profits from a new business was merely speculative and incapable of being ascertained with the requisite degree of certainty. . .  Such reasoning is supported by the generally accepted rule of contract law that damages are not recoverable unless they are reasonably certain. . . . </w:t>
      </w:r>
    </w:p>
    <w:p w:rsidR="00032A5B" w:rsidRDefault="00032A5B" w:rsidP="00032A5B">
      <w:pPr>
        <w:pStyle w:val="NormalWeb"/>
        <w:ind w:left="75"/>
        <w:jc w:val="both"/>
        <w:rPr>
          <w:sz w:val="20"/>
        </w:rPr>
      </w:pPr>
      <w:r>
        <w:rPr>
          <w:sz w:val="20"/>
        </w:rPr>
        <w:t xml:space="preserve">The dissent also speculates on what evidence Sharick will present upon remand, then proceeds to denigrate the evidence as not within a reasonable degree of certainty.  The dissent's speculative approach does provide certainty: the certainty that Sharick will be denied his day in court as to what his lost future earnings might be.  It would be patently unfair to deny damages to a student after a school has acted arbitrarily and capriciously, provided that the student can prove those damages with reasonable certainty. . . . </w:t>
      </w:r>
    </w:p>
    <w:p w:rsidR="00032A5B" w:rsidRDefault="00032A5B" w:rsidP="00032A5B">
      <w:pPr>
        <w:pStyle w:val="NormalWeb"/>
        <w:ind w:left="75"/>
        <w:jc w:val="both"/>
        <w:rPr>
          <w:sz w:val="20"/>
        </w:rPr>
      </w:pPr>
      <w:r>
        <w:rPr>
          <w:sz w:val="20"/>
        </w:rPr>
        <w:t xml:space="preserve">Thus, I believe that, as a matter of public policy, the panel opinion is on solid ground.  By our decision, we are only requiring that schools not act in an arbitrary and capricious manner, hardly an insurmountable responsibility. </w:t>
      </w:r>
    </w:p>
    <w:p w:rsidR="00032A5B" w:rsidRDefault="00032A5B" w:rsidP="00032A5B">
      <w:pPr>
        <w:pStyle w:val="NormalWeb"/>
        <w:ind w:left="75"/>
        <w:jc w:val="both"/>
        <w:rPr>
          <w:sz w:val="20"/>
        </w:rPr>
      </w:pPr>
    </w:p>
    <w:p w:rsidR="00032A5B" w:rsidRDefault="00032A5B" w:rsidP="00032A5B">
      <w:pPr>
        <w:pStyle w:val="NormalWeb"/>
        <w:ind w:left="75"/>
        <w:jc w:val="both"/>
        <w:rPr>
          <w:sz w:val="20"/>
        </w:rPr>
      </w:pPr>
      <w:r>
        <w:rPr>
          <w:b/>
          <w:bCs/>
          <w:sz w:val="20"/>
        </w:rPr>
        <w:t>DISSENT:</w:t>
      </w:r>
      <w:r>
        <w:rPr>
          <w:sz w:val="20"/>
        </w:rPr>
        <w:t xml:space="preserve">    LEVY, Judge (dissenting).   JORGENSON, GERSTEN and GREEN, JJ., concur.</w:t>
      </w:r>
    </w:p>
    <w:p w:rsidR="00032A5B" w:rsidRDefault="00032A5B" w:rsidP="00032A5B">
      <w:pPr>
        <w:pStyle w:val="NormalWeb"/>
        <w:ind w:left="75"/>
        <w:jc w:val="both"/>
        <w:rPr>
          <w:sz w:val="20"/>
        </w:rPr>
      </w:pPr>
      <w:r>
        <w:rPr>
          <w:sz w:val="20"/>
        </w:rPr>
        <w:t xml:space="preserve">I respectfully dissent. </w:t>
      </w:r>
    </w:p>
    <w:p w:rsidR="00032A5B" w:rsidRDefault="00032A5B" w:rsidP="00032A5B">
      <w:pPr>
        <w:pStyle w:val="NormalWeb"/>
        <w:ind w:left="75"/>
        <w:jc w:val="both"/>
        <w:rPr>
          <w:sz w:val="20"/>
        </w:rPr>
      </w:pPr>
      <w:r>
        <w:rPr>
          <w:sz w:val="20"/>
        </w:rPr>
        <w:t xml:space="preserve">Sharick essentially seeks a lifetime's worth of future income for a potential career in an unknown field from a degree not yet obtained.  Under these circumstances and for the following reasons, I do not find it possible for Sharick to establish and prove his loss of future earning capacity within a reasonable degree of certainty. . . . </w:t>
      </w:r>
    </w:p>
    <w:p w:rsidR="00032A5B" w:rsidRDefault="00032A5B" w:rsidP="00032A5B">
      <w:pPr>
        <w:pStyle w:val="NormalWeb"/>
        <w:ind w:left="75"/>
        <w:jc w:val="both"/>
        <w:rPr>
          <w:sz w:val="20"/>
        </w:rPr>
      </w:pPr>
      <w:r>
        <w:rPr>
          <w:sz w:val="20"/>
        </w:rPr>
        <w:t xml:space="preserve">Before Sharick would even be eligible to practice as a D.O., he would have to successfully complete his final class, pass part two of the state board examinations, successfully complete either an internship or residency program or both, and then meet all licensing requirements of the state D.O. board. Whether or not Sharick would be successful in this endeavor is beyond </w:t>
      </w:r>
      <w:r>
        <w:rPr>
          <w:sz w:val="20"/>
        </w:rPr>
        <w:lastRenderedPageBreak/>
        <w:t xml:space="preserve">reasonable conjecture.  Neither a jury nor a court should be permitted to excuse a student from completing all of his professional degree requirements in order to award him damages. . . . </w:t>
      </w:r>
    </w:p>
    <w:p w:rsidR="00032A5B" w:rsidRDefault="00032A5B" w:rsidP="00032A5B">
      <w:pPr>
        <w:pStyle w:val="NormalWeb"/>
        <w:ind w:left="75"/>
        <w:jc w:val="both"/>
        <w:rPr>
          <w:sz w:val="20"/>
        </w:rPr>
      </w:pPr>
      <w:r>
        <w:rPr>
          <w:sz w:val="20"/>
        </w:rPr>
        <w:t>However, even if it were proper to assume that Sharick would meet these preconditions to employment, it is still unknown what type of D.O. position Sharick would actually hold and where he would be working.  Indeed, should Sharick complete his one year internship after graduation, he would be qualified to serve as either a pathologist, medical administrator, medical examiner or workers compensation hearing officer, and that he would be eligible to get a license to practice as a D.O..  Given this wide array of possibilities, I find it impossible to determine Sharick's loss of future earning capacity within a reasonable degree of certainty. Suffice it to say that, should Sharick go further and complete a residency program, his possibilities for employment would become even more diverse and, consequently, even more undeterminable. Sharick's ultimate goal may be to become a family practitioner, but it is unreasonable to assume that he will do so.</w:t>
      </w:r>
      <w:r>
        <w:rPr>
          <w:sz w:val="20"/>
          <w:vertAlign w:val="superscript"/>
        </w:rPr>
        <w:t>1</w:t>
      </w:r>
    </w:p>
    <w:p w:rsidR="00032A5B" w:rsidRDefault="00032A5B" w:rsidP="00032A5B">
      <w:pPr>
        <w:pStyle w:val="NormalWeb"/>
        <w:ind w:left="75"/>
        <w:jc w:val="both"/>
        <w:rPr>
          <w:sz w:val="20"/>
        </w:rPr>
      </w:pPr>
      <w:r>
        <w:rPr>
          <w:sz w:val="20"/>
        </w:rPr>
        <w:t xml:space="preserve">Finally, the majority's analogy to loss of prospective business profits is misplaced.  The cases cited by the majority hold that, regardless of whether a business has an established "track record", the business can recover lost prospective profits when damages can be shown to a reasonable certainty by competent proof. . . .  Unlike the instant matter, however, those holdings were based on a set of facts and circumstances upon which one could reasonably ascertain, without excessive surmise: (1) the precise scope of the plaintiffs' businesses; (2) exactly where the plaintiffs' were doing business; (3) the specific nature of the plaintiffs' damages suffered due to the defendants' breach of contract; and (4) the "yardstick" by which prospective profits could be measured. . .. As no such certainty exists in the case at bar, I find the "lost profit" line of cases to be inapposite to the instant matter. </w:t>
      </w:r>
    </w:p>
    <w:p w:rsidR="00032A5B" w:rsidRDefault="00032A5B" w:rsidP="00032A5B">
      <w:pPr>
        <w:pStyle w:val="NormalWeb"/>
        <w:ind w:left="75"/>
        <w:jc w:val="both"/>
        <w:rPr>
          <w:sz w:val="20"/>
        </w:rPr>
      </w:pPr>
      <w:r>
        <w:rPr>
          <w:sz w:val="20"/>
        </w:rPr>
        <w:t xml:space="preserve">In summary, I would find that Sharick is not entitled to recover, as damages, lost future income that he might have earned as a D.O. in an undetermined field only after he might possibly have passed his boards and potentially received a D.O. license.  It is wholly speculative whether Sharick would ever practice as a D.O., much less become successful and earn substantial income. The majority opinion requires the jury to utilize a divining rod of conjecture which simply cannot find water.  For these reasons, I respectfully dissent. </w:t>
      </w:r>
    </w:p>
    <w:p w:rsidR="00032A5B" w:rsidRDefault="00032A5B" w:rsidP="00032A5B">
      <w:pPr>
        <w:pStyle w:val="NormalWeb"/>
        <w:ind w:left="75"/>
        <w:jc w:val="both"/>
        <w:rPr>
          <w:sz w:val="20"/>
        </w:rPr>
      </w:pPr>
    </w:p>
    <w:p w:rsidR="00032A5B" w:rsidRDefault="00032A5B" w:rsidP="00032A5B">
      <w:pPr>
        <w:pStyle w:val="NormalWeb"/>
        <w:ind w:left="75"/>
        <w:jc w:val="both"/>
        <w:rPr>
          <w:sz w:val="20"/>
        </w:rPr>
      </w:pPr>
      <w:r>
        <w:rPr>
          <w:sz w:val="20"/>
        </w:rPr>
        <w:t>________________</w:t>
      </w:r>
    </w:p>
    <w:p w:rsidR="00032A5B" w:rsidRDefault="00032A5B" w:rsidP="00032A5B">
      <w:pPr>
        <w:pStyle w:val="NormalWeb"/>
        <w:ind w:left="75"/>
        <w:jc w:val="both"/>
        <w:rPr>
          <w:sz w:val="18"/>
        </w:rPr>
      </w:pPr>
    </w:p>
    <w:p w:rsidR="00032A5B" w:rsidRDefault="00032A5B" w:rsidP="00032A5B">
      <w:pPr>
        <w:pStyle w:val="NormalWeb"/>
        <w:ind w:left="75"/>
        <w:jc w:val="both"/>
        <w:rPr>
          <w:sz w:val="18"/>
        </w:rPr>
      </w:pPr>
      <w:r>
        <w:rPr>
          <w:sz w:val="18"/>
        </w:rPr>
        <w:t>Fn 1:  Although Southeastern has not challenged the determination that it arbitrarily and capriciously dismissed Sharick from medical school, Sharick's inappropriate conduct that led to his dismissal is a factor that the jury should consider when determining whether Sharick would have become employed and in what capacity. . . .  Specifically, the record indicates that Sharick was dismissed because he: (1) "was apparently unable to identify very fundamental signs and symptoms of diabetes mellititus"; (2) "failed to examine the abdomen and suprapubic area of a woman complaining of lower abdominal pain and presenting with symptoms of a urinary tract infection"; (3) "raised the skirt of a female patient without informing her that [he was] going to do so"; and (4) "consistently failed to review charts properly prior to interacting with these patients."</w:t>
      </w:r>
    </w:p>
    <w:p w:rsidR="00032A5B" w:rsidRDefault="00032A5B" w:rsidP="00032A5B">
      <w:pPr>
        <w:pStyle w:val="NormalWeb"/>
        <w:ind w:left="75"/>
        <w:rPr>
          <w:sz w:val="18"/>
        </w:rPr>
      </w:pPr>
    </w:p>
    <w:p w:rsidR="00032A5B" w:rsidRPr="00B43A02" w:rsidRDefault="00032A5B" w:rsidP="00032A5B">
      <w:pPr>
        <w:ind w:left="154" w:right="154"/>
        <w:jc w:val="center"/>
      </w:pPr>
      <w:r>
        <w:rPr>
          <w:sz w:val="18"/>
        </w:rPr>
        <w:br w:type="page"/>
      </w:r>
    </w:p>
    <w:p w:rsidR="00032A5B" w:rsidRPr="00E42DD3" w:rsidRDefault="00032A5B" w:rsidP="00032A5B">
      <w:pPr>
        <w:pStyle w:val="NormalWeb"/>
        <w:ind w:left="75"/>
        <w:jc w:val="center"/>
        <w:rPr>
          <w:sz w:val="20"/>
          <w:szCs w:val="20"/>
        </w:rPr>
      </w:pPr>
      <w:r w:rsidRPr="00E42DD3">
        <w:rPr>
          <w:sz w:val="20"/>
          <w:szCs w:val="20"/>
        </w:rPr>
        <w:lastRenderedPageBreak/>
        <w:t>UNION CARBIDE CORPORATION, Plaintiff-Appellant, v. OSCAR MAYER FOODS CORPORATION, Defendant-Appellee</w:t>
      </w:r>
    </w:p>
    <w:p w:rsidR="00032A5B" w:rsidRDefault="00032A5B" w:rsidP="00032A5B">
      <w:pPr>
        <w:jc w:val="center"/>
      </w:pPr>
    </w:p>
    <w:p w:rsidR="00032A5B" w:rsidRDefault="00032A5B" w:rsidP="00032A5B">
      <w:pPr>
        <w:jc w:val="center"/>
      </w:pPr>
      <w:smartTag w:uri="urn:schemas-microsoft-com:office:smarttags" w:element="country-region">
        <w:smartTag w:uri="urn:schemas-microsoft-com:office:smarttags" w:element="place">
          <w:r>
            <w:t>United States</w:t>
          </w:r>
        </w:smartTag>
      </w:smartTag>
      <w:r>
        <w:t xml:space="preserve"> Court of Appeals for the Seventh Circuit</w:t>
      </w:r>
    </w:p>
    <w:p w:rsidR="00032A5B" w:rsidRDefault="00032A5B" w:rsidP="00032A5B">
      <w:pPr>
        <w:jc w:val="center"/>
      </w:pPr>
    </w:p>
    <w:p w:rsidR="00032A5B" w:rsidRDefault="00032A5B" w:rsidP="00032A5B">
      <w:pPr>
        <w:jc w:val="center"/>
      </w:pPr>
      <w:r>
        <w:t>947 F.2d 1333</w:t>
      </w:r>
    </w:p>
    <w:p w:rsidR="00032A5B" w:rsidRDefault="00032A5B" w:rsidP="00032A5B">
      <w:pPr>
        <w:jc w:val="center"/>
      </w:pPr>
    </w:p>
    <w:p w:rsidR="00032A5B" w:rsidRDefault="00032A5B" w:rsidP="00032A5B">
      <w:pPr>
        <w:jc w:val="center"/>
      </w:pPr>
      <w:smartTag w:uri="urn:schemas-microsoft-com:office:smarttags" w:element="date">
        <w:smartTagPr>
          <w:attr w:name="Month" w:val="9"/>
          <w:attr w:name="Day" w:val="13"/>
          <w:attr w:name="Year" w:val="1991"/>
        </w:smartTagPr>
        <w:r>
          <w:t>September 13, 1991</w:t>
        </w:r>
      </w:smartTag>
      <w:r>
        <w:t>, Argued</w:t>
      </w:r>
    </w:p>
    <w:p w:rsidR="00032A5B" w:rsidRDefault="00032A5B" w:rsidP="00032A5B">
      <w:pPr>
        <w:jc w:val="center"/>
      </w:pPr>
      <w:smartTag w:uri="urn:schemas-microsoft-com:office:smarttags" w:element="date">
        <w:smartTagPr>
          <w:attr w:name="Month" w:val="11"/>
          <w:attr w:name="Day" w:val="15"/>
          <w:attr w:name="Year" w:val="1991"/>
        </w:smartTagPr>
        <w:r>
          <w:t>November 15, 1991</w:t>
        </w:r>
      </w:smartTag>
      <w:r>
        <w:t>, Decided</w:t>
      </w:r>
    </w:p>
    <w:p w:rsidR="00032A5B" w:rsidRDefault="00032A5B" w:rsidP="00032A5B"/>
    <w:p w:rsidR="00032A5B" w:rsidRDefault="00032A5B" w:rsidP="00032A5B">
      <w:r>
        <w:t xml:space="preserve">PRIOR HISTORY: </w:t>
      </w:r>
    </w:p>
    <w:p w:rsidR="00032A5B" w:rsidRDefault="00032A5B" w:rsidP="00032A5B">
      <w:r>
        <w:t xml:space="preserve">   </w:t>
      </w:r>
    </w:p>
    <w:p w:rsidR="00032A5B" w:rsidRDefault="00032A5B" w:rsidP="00032A5B">
      <w:r>
        <w:t xml:space="preserve">Appeal from the United States District Court for the Northern District of Illinois, Eastern Division. No. 89 C 3834; Charles P. Kocoras, Judge. </w:t>
      </w:r>
    </w:p>
    <w:p w:rsidR="00032A5B" w:rsidRDefault="00032A5B" w:rsidP="00032A5B"/>
    <w:p w:rsidR="00032A5B" w:rsidRDefault="00032A5B" w:rsidP="00032A5B">
      <w:r>
        <w:t xml:space="preserve">DISPOSITION: Affirmed. </w:t>
      </w:r>
    </w:p>
    <w:p w:rsidR="00032A5B" w:rsidRDefault="00032A5B" w:rsidP="00032A5B"/>
    <w:p w:rsidR="00032A5B" w:rsidRDefault="00032A5B" w:rsidP="00032A5B">
      <w:r>
        <w:t xml:space="preserve">JUDGES: Posner, Flaum, and Manion, Circuit Judges. </w:t>
      </w:r>
    </w:p>
    <w:p w:rsidR="00032A5B" w:rsidRDefault="00032A5B" w:rsidP="00032A5B"/>
    <w:p w:rsidR="00032A5B" w:rsidRDefault="00032A5B" w:rsidP="00032A5B">
      <w:r>
        <w:t xml:space="preserve">OPINION BY:  POSNER, Circuit Judge </w:t>
      </w:r>
    </w:p>
    <w:p w:rsidR="00032A5B" w:rsidRDefault="00032A5B" w:rsidP="00032A5B"/>
    <w:p w:rsidR="00032A5B" w:rsidRDefault="00032A5B" w:rsidP="00032A5B">
      <w:pPr>
        <w:jc w:val="both"/>
      </w:pPr>
      <w:r>
        <w:t xml:space="preserve">This is a diversity suit for breach of contract, brought by Union Carbide against Oscar Mayer and resolved in the defendant's favor on summary judgment. Union Carbide sold Oscar Mayer plastic casings that Oscar Mayer uses in manufacturing sausages. The prices in Union Carbide's invoices to Oscar Mayer included two 1 percent sales taxes that are applicable to sales which originate in </w:t>
      </w:r>
      <w:smartTag w:uri="urn:schemas-microsoft-com:office:smarttags" w:element="City">
        <w:smartTag w:uri="urn:schemas-microsoft-com:office:smarttags" w:element="place">
          <w:r>
            <w:t>Chicago</w:t>
          </w:r>
        </w:smartTag>
      </w:smartTag>
      <w:r>
        <w:t xml:space="preserve">. Another supplier of plastic sausage casings to Oscar Mayer began charging a price that was 1 percent lower than Union Carbide's. This supplier had begun accepting orders at an office outside of </w:t>
      </w:r>
      <w:smartTag w:uri="urn:schemas-microsoft-com:office:smarttags" w:element="City">
        <w:smartTag w:uri="urn:schemas-microsoft-com:office:smarttags" w:element="place">
          <w:r>
            <w:t>Chicago</w:t>
          </w:r>
        </w:smartTag>
      </w:smartTag>
      <w:r>
        <w:t xml:space="preserve"> and had decided that therefore it didn't have to pay one of the sales taxes (why one but not both is unclear). When Oscar Mayer informed Union Carbide of this, Union Carbide instructed its customers likewise to send their orders to an address outside </w:t>
      </w:r>
      <w:smartTag w:uri="urn:schemas-microsoft-com:office:smarttags" w:element="City">
        <w:smartTag w:uri="urn:schemas-microsoft-com:office:smarttags" w:element="place">
          <w:r>
            <w:t>Chicago</w:t>
          </w:r>
        </w:smartTag>
      </w:smartTag>
      <w:r>
        <w:t xml:space="preserve">, and it stopped paying both sales taxes and therefore deleted them from the invoices it sent Oscar Mayer. Thus Union Carbide had met and indeed beat the other supplier's discount by lowering its price 2 percent compared to the other supplier's reduction of 1 percent. </w:t>
      </w:r>
    </w:p>
    <w:p w:rsidR="00032A5B" w:rsidRDefault="00032A5B" w:rsidP="00032A5B">
      <w:pPr>
        <w:jc w:val="both"/>
      </w:pPr>
    </w:p>
    <w:p w:rsidR="00032A5B" w:rsidRDefault="00032A5B" w:rsidP="00032A5B">
      <w:pPr>
        <w:jc w:val="both"/>
      </w:pPr>
      <w:r>
        <w:t xml:space="preserve">All this was in 1980. Eight years later the </w:t>
      </w:r>
      <w:smartTag w:uri="urn:schemas-microsoft-com:office:smarttags" w:element="State">
        <w:smartTag w:uri="urn:schemas-microsoft-com:office:smarttags" w:element="place">
          <w:r>
            <w:t>Illinois</w:t>
          </w:r>
        </w:smartTag>
      </w:smartTag>
      <w:r>
        <w:t xml:space="preserve"> tax authorities decided that the two sales taxes were due notwithstanding the change of address and assessed Union Carbide $88,000 in back taxes on sales to Oscar Mayer and $55,000 in interest thereon. Union Carbide paid and then turned around and brought this suit to recover what it had paid from Oscar Mayer, claiming that Oscar Mayer had agreed to indemnify it for all sales tax liability. It relied on the following provision printed on the back of its invoices to Oscar Mayer and also in a "price book" that it sent its customers: "In addition to the purchase price, Buyer shall pay Seller the amount of all governmental taxes . . . that Seller may be required to pay with respect to the production, sale or transportation of any materials delivered hereunder." </w:t>
      </w:r>
    </w:p>
    <w:p w:rsidR="00032A5B" w:rsidRDefault="00032A5B" w:rsidP="00032A5B">
      <w:pPr>
        <w:jc w:val="both"/>
      </w:pPr>
    </w:p>
    <w:p w:rsidR="00032A5B" w:rsidRDefault="00032A5B" w:rsidP="00032A5B">
      <w:pPr>
        <w:jc w:val="both"/>
      </w:pPr>
      <w:r>
        <w:t xml:space="preserve">Union Carbide's claim nestles comfortably within this language, but that is only the beginning of analysis. The language is equally comfortably read to mean simply that the seller shall be permitted to add on to the agreed purchase price the amount of whatever sales tax is applicable to the purchase -- which is a quite different reading from supposing that it imposes on the buyer an open-ended liability to pay back taxes, interest, and even fraud penalties (though an attempt to shift the last might be forbidden as contrary to public policy), perhaps many years after taking delivery, because the seller blundered in computing its tax liability. That may be a semantically permissible, but it is an economically implausible, reading. Contracts and contract law normally seek to impose liability for a mistake on the party to the contract who is in the better position either to prevent the mistake, or to reduce its disutility by means of market insurance or self-insurance. . . . The party better able to prevent a mistake about how much tax is owed is surely the taxpayer rather than the taxpayer's customer. We don't know whether Oscar Mayer pays any sales taxes in </w:t>
      </w:r>
      <w:smartTag w:uri="urn:schemas-microsoft-com:office:smarttags" w:element="State">
        <w:smartTag w:uri="urn:schemas-microsoft-com:office:smarttags" w:element="place">
          <w:r>
            <w:t>Illinois</w:t>
          </w:r>
        </w:smartTag>
      </w:smartTag>
      <w:r>
        <w:t xml:space="preserve">. We do know it was not dunned for the two taxes in issue; as to them the taxing authorities dealt exclusively with Union Carbide. There is no suggestion that, should the mistake be treated as unavoidable, either party was the superior insurer. </w:t>
      </w:r>
    </w:p>
    <w:p w:rsidR="00032A5B" w:rsidRDefault="00032A5B" w:rsidP="00032A5B">
      <w:pPr>
        <w:jc w:val="both"/>
      </w:pPr>
    </w:p>
    <w:p w:rsidR="00032A5B" w:rsidRDefault="00032A5B" w:rsidP="00032A5B">
      <w:pPr>
        <w:jc w:val="both"/>
      </w:pPr>
      <w:r>
        <w:t xml:space="preserve">The background to the dispute also makes Union Carbide's reading implausible. Oscar Mayer was asking Union Carbide to match a competitor's price reduction. That reduction, as far as we can tell, was unconditional. The competitor wasn't saying to Oscar Mayer, "We'll give you a discount but maybe a few years from now we'll ask for it back -- with interest and maybe a penalty." (At argument one of the lawyers told us that he thought the competitor had also been assessed back taxes by </w:t>
      </w:r>
      <w:r>
        <w:lastRenderedPageBreak/>
        <w:t xml:space="preserve">Illinois, just like Union Carbide, though he wasn't sure -- but that unlike Union Carbide the competitor did not try to obtain indemnity from Oscar Mayer.) Why should Oscar Mayer accept an open-ended contingent liability, which would require it to establish on its books a reserve against the possibility of being forced years later to bail Union Carbide out of a tax dispute with the state, when another supplier was offering it the same price without the liability? Well, but it wasn't the same price; the other supplier was offering a 1 percent discount, and Union Carbide offered 2 percent. Maybe the extra 1 percent was compensation for bearing the risk of having to repay the discount -- with interest -- later on. But Union Carbide doesn't even argue this. It does argue that a tax-indemnity provision is not so unusual as we imagine, because the record contains an invoice from still another supplier of sausage casings which states that "if the sale merchandise listed herein is or hereafter becomes subject to sales, or use or processing tax, buyer shall be liable for same" (emphasis added). But this may not be an indemnity provision either. It could just mean that if, after the mailing of the invoice, a tax is imposed and is applicable to the sale, the buyer agrees to pay it. Anyway the language is different from that of Union Carbide's invoices. </w:t>
      </w:r>
    </w:p>
    <w:p w:rsidR="00032A5B" w:rsidRDefault="00032A5B" w:rsidP="00032A5B">
      <w:pPr>
        <w:jc w:val="both"/>
      </w:pPr>
    </w:p>
    <w:p w:rsidR="00032A5B" w:rsidRDefault="00032A5B" w:rsidP="00032A5B">
      <w:pPr>
        <w:jc w:val="both"/>
      </w:pPr>
      <w:r>
        <w:t xml:space="preserve">We think that Union Carbide has misread the contract and that this is clear enough to be determined without a trial. </w:t>
      </w:r>
    </w:p>
    <w:p w:rsidR="00032A5B" w:rsidRDefault="00032A5B" w:rsidP="00032A5B">
      <w:pPr>
        <w:jc w:val="both"/>
      </w:pPr>
    </w:p>
    <w:p w:rsidR="00032A5B" w:rsidRDefault="00032A5B" w:rsidP="00032A5B">
      <w:pPr>
        <w:jc w:val="both"/>
      </w:pPr>
      <w:r>
        <w:t xml:space="preserve">We also agree with the district judge that if read as an indemnity clause the quoted provision is a material alteration in the parties' contract and is therefore unenforceable against Oscar Mayer because not agreed to. The common law rule was that if the purported acceptance of an offer was not identical to the offer, the acceptance was a fresh offer and had to be expressly accepted by the original offeror for the parties to have a contract. . . . This "mirror image" rule . . .was widely believed to take insufficient account of the incorrigible fallibility of human beings engaged in commercial as in other dealings, and is changed by the Uniform Commercial Code, which allows an acceptance to make a contract even if it adds terms to the offer. UCC § 2-207(1), Ill. Rev. Stat. ch. 26, para. 2-207(1).  Moreover, if it is a contract between "merchants" (in the sense of UCC § 2-104(1) — as Union Carbide and Oscar Mayer are), the additional terms become part of the contract. UCC § 2-207(2).  But not any additional terms; only those to which the offeror would be unlikely to object, because they fill out the contract in an expectable fashion, and hence do not alter it materially. If a term added by the offeree in his acceptance works a material alteration of the offer, the acceptance is still effective, but the term is not: that is, the contract is enforceable minus the term the offeree tried to add. . . . </w:t>
      </w:r>
    </w:p>
    <w:p w:rsidR="00032A5B" w:rsidRDefault="00032A5B" w:rsidP="00032A5B">
      <w:pPr>
        <w:jc w:val="both"/>
      </w:pPr>
    </w:p>
    <w:p w:rsidR="00032A5B" w:rsidRDefault="00032A5B" w:rsidP="00032A5B">
      <w:pPr>
        <w:jc w:val="both"/>
      </w:pPr>
      <w:r>
        <w:t xml:space="preserve">This is not the end of the analysis, however. Like most doctrines of contract law, the doctrine of material alteration is an aid to interpretation rather than an ironclad rule. . . . Even if the alteration is material, the other party can, of course, decide to accept it, and then the doctrine of material alteration is out the window. Put differently, consent can be inferred from other things besides the unsurprising character of the new term: even from silence, in the face of a course of dealings that makes it reasonable for the other party to infer consent from a failure to object. . . . </w:t>
      </w:r>
    </w:p>
    <w:p w:rsidR="00032A5B" w:rsidRDefault="00032A5B" w:rsidP="00032A5B">
      <w:pPr>
        <w:jc w:val="both"/>
      </w:pPr>
    </w:p>
    <w:p w:rsidR="00032A5B" w:rsidRDefault="00032A5B" w:rsidP="00032A5B">
      <w:pPr>
        <w:jc w:val="both"/>
      </w:pPr>
      <w:r>
        <w:t xml:space="preserve">If the new term is contained in a succession of invoices or other forms, the recipient cannot claim unfair surprise and is therefore bound by it (the "therefore" implicitly deriving from the principle that a course of dealings can be the basis for treating silence as acceptance of an offer). But it assists clear analysis to separate the two issues. They are close but distinct. If the new term does not effect a material alteration, silence is consent, period. If it does effect a material alteration, the party who proposed it must present additional evidence, beyond the term itself, to show that he was reasonable to infer consent to the new term from the other party's failure to object (silence); ordinarily this  will be evidence of prior dealings, unnecessary if the new term did not effect a material alteration. Finally, an offeror can protect himself against additional terms, material or not, by expressly limiting acceptance to the terms of the offer. UCC § 2-207(2)(a). </w:t>
      </w:r>
    </w:p>
    <w:p w:rsidR="00032A5B" w:rsidRDefault="00032A5B" w:rsidP="00032A5B">
      <w:pPr>
        <w:jc w:val="both"/>
      </w:pPr>
    </w:p>
    <w:p w:rsidR="00032A5B" w:rsidRDefault="00032A5B" w:rsidP="00032A5B">
      <w:pPr>
        <w:jc w:val="both"/>
      </w:pPr>
      <w:r>
        <w:t xml:space="preserve">To summarize, a term inserted by the offeree is ineffectual (1) if the offer expressly limits acceptance to the terms of the offer, or (2) if the new term (a) makes a material alteration, in the sense that consent to it cannot be presumed, and (b) there is no showing that the offeror in fact consented to the alteration -- whether (i) expressly, or (ii) by silence against the background of a course of dealings. </w:t>
      </w:r>
    </w:p>
    <w:p w:rsidR="00032A5B" w:rsidRDefault="00032A5B" w:rsidP="00032A5B">
      <w:pPr>
        <w:jc w:val="both"/>
      </w:pPr>
    </w:p>
    <w:p w:rsidR="00032A5B" w:rsidRDefault="00032A5B" w:rsidP="00032A5B">
      <w:pPr>
        <w:jc w:val="both"/>
      </w:pPr>
      <w:r>
        <w:t xml:space="preserve">Having got the law as straight as we can, let us return to the facts. The record does not reveal the origins of Union Carbide's dealings with Oscar Mayer. All we know is that in 1980 the parties' method of dealing was as follows. Oscar Mayer would from time to time send large purchase orders to Union Carbide which would not be filled immediately but instead would be filed for future reference. When Oscar Mayer actually needed casings it would phone Union Carbide and tell it how many it needed and Union Carbide would ship the casings the next day. After the casings arrived Oscar Mayer would send Union Carbide a purchase order for the shipment on the same form used for the standing orders. These "release orders," as the specific purchase orders were called, were like checks written against a bank account (the standing orders) — only this was a sausage-casings account. At about the same time that Oscar Mayer sent Union Carbide a release order, Union Carbide would send Oscar Mayer an invoice for the shipment -- and the so-called indemnity clause was, as we noted at the outset, on the back of the invoice and also in a price book that Union Carbide sent its customers from time to time. So every actual purchase of sausage casings involved an exchange of four documents: the standing order, the price book, the release order, </w:t>
      </w:r>
      <w:r>
        <w:lastRenderedPageBreak/>
        <w:t>the invoice. Such a pattern of sequential exchange of documents governing a single sale is a prototypical situation for the application of UCC § 2-207.</w:t>
      </w:r>
    </w:p>
    <w:p w:rsidR="00032A5B" w:rsidRDefault="00032A5B" w:rsidP="00032A5B">
      <w:pPr>
        <w:jc w:val="both"/>
      </w:pPr>
    </w:p>
    <w:p w:rsidR="00032A5B" w:rsidRDefault="00032A5B" w:rsidP="00032A5B">
      <w:pPr>
        <w:jc w:val="both"/>
      </w:pPr>
      <w:r>
        <w:t xml:space="preserve">Union Carbide does not question that for purposes of our decision the purchase orders by Oscar Mayer are the offers and Union Carbide's invoices are the acceptances, and that the price book, if it be assumed to be an offer, was never accepted. So the indemnity clause (if, contrary to our view, that is what it was) was binding on Oscar Mayer only if the clause did not work a material alteration of the terms in the purchase orders. </w:t>
      </w:r>
    </w:p>
    <w:p w:rsidR="00032A5B" w:rsidRDefault="00032A5B" w:rsidP="00032A5B">
      <w:pPr>
        <w:jc w:val="both"/>
      </w:pPr>
    </w:p>
    <w:p w:rsidR="00032A5B" w:rsidRDefault="00032A5B" w:rsidP="00032A5B">
      <w:pPr>
        <w:jc w:val="both"/>
      </w:pPr>
      <w:r>
        <w:t xml:space="preserve">Those orders don't exactly discuss taxes, but they contain a space for sales tax to be added into the purchase price, and Union Carbide points out that, consistent with this indication of willingness to pay sales tax, Oscar Mayer paid uncomplainingly all sales taxes that appeared on Union Carbide's invoices. Nor does Oscar Mayer deny that it was contractually obligated to do so, by virtue less of anything said in the documents than of a tacit understanding inferable from the parties' previous dealings. UCC § 1-205(1).  If the sales tax rates had risen, Oscar Mayer would have had to pay the higher rates. What difference does it make, asks  Union Carbide, if the increase took the form of an assessment of back taxes? It makes a big difference, amounting to a material alteration to which Oscar Mayer did not consent either explicitly or implicitly. If a tax increase showed up on an invoice, Oscar Mayer would have to pay but might then decide to cease buying casings from Union Carbide, as it had every right to do; it did not have a requirements contract with Union Carbide but could switch at will to other suppliers some of whom might not be subject to the tax. To assume responsibility for taxes shown on an individual invoice is quite different from assuming an open-ended, indeed incalculable, liability for back taxes. Construed (improperly in our view) as an indemnity clause, as Union Carbide urges, the tax clause altered the contract materially; and since the clause was at best ambiguous about indemnity, this is not a case where consent can realistically be inferred from Oscar Mayer's silence in the face of a succession of acceptances (Union Carbide's invoices) containing the new term. </w:t>
      </w:r>
    </w:p>
    <w:p w:rsidR="00032A5B" w:rsidRDefault="00032A5B" w:rsidP="00032A5B">
      <w:pPr>
        <w:jc w:val="both"/>
      </w:pPr>
    </w:p>
    <w:p w:rsidR="00032A5B" w:rsidRDefault="00032A5B" w:rsidP="00032A5B">
      <w:pPr>
        <w:jc w:val="both"/>
      </w:pPr>
      <w:r>
        <w:t xml:space="preserve">There was no breach of contract. The judgment for the defendant is </w:t>
      </w:r>
    </w:p>
    <w:p w:rsidR="00032A5B" w:rsidRDefault="00032A5B" w:rsidP="00032A5B">
      <w:pPr>
        <w:jc w:val="both"/>
      </w:pPr>
    </w:p>
    <w:p w:rsidR="00032A5B" w:rsidRPr="00260B50" w:rsidRDefault="00032A5B" w:rsidP="00032A5B">
      <w:pPr>
        <w:pStyle w:val="BodyText2"/>
        <w:rPr>
          <w:color w:val="000000"/>
        </w:rPr>
      </w:pPr>
      <w:r>
        <w:t>AFFIRMED.</w:t>
      </w:r>
    </w:p>
    <w:p w:rsidR="00032A5B" w:rsidRPr="00260B50" w:rsidRDefault="00032A5B" w:rsidP="00032A5B">
      <w:pPr>
        <w:jc w:val="center"/>
        <w:rPr>
          <w:color w:val="000000"/>
        </w:rPr>
      </w:pPr>
      <w:r w:rsidRPr="00260B50">
        <w:rPr>
          <w:color w:val="000000"/>
        </w:rPr>
        <w:br w:type="page"/>
      </w:r>
      <w:r w:rsidRPr="00260B50">
        <w:rPr>
          <w:color w:val="000000"/>
        </w:rPr>
        <w:lastRenderedPageBreak/>
        <w:t xml:space="preserve">Daniel </w:t>
      </w:r>
      <w:r w:rsidRPr="00260B50">
        <w:rPr>
          <w:bCs/>
          <w:color w:val="000000"/>
        </w:rPr>
        <w:t>Miller,</w:t>
      </w:r>
      <w:r w:rsidRPr="00260B50">
        <w:rPr>
          <w:color w:val="000000"/>
        </w:rPr>
        <w:t xml:space="preserve"> Plaintiff, v. </w:t>
      </w:r>
      <w:r w:rsidRPr="00260B50">
        <w:rPr>
          <w:bCs/>
          <w:color w:val="000000"/>
        </w:rPr>
        <w:t>Newsweek,</w:t>
      </w:r>
      <w:r w:rsidRPr="00260B50">
        <w:rPr>
          <w:color w:val="000000"/>
        </w:rPr>
        <w:t xml:space="preserve"> Inc., Defendant</w:t>
      </w:r>
    </w:p>
    <w:p w:rsidR="00032A5B" w:rsidRPr="00260B50" w:rsidRDefault="00032A5B" w:rsidP="00032A5B">
      <w:pPr>
        <w:jc w:val="center"/>
        <w:rPr>
          <w:color w:val="000000"/>
        </w:rPr>
      </w:pPr>
      <w:r w:rsidRPr="00260B50">
        <w:rPr>
          <w:color w:val="000000"/>
        </w:rPr>
        <w:br/>
      </w:r>
      <w:smartTag w:uri="urn:schemas-microsoft-com:office:smarttags" w:element="country-region">
        <w:smartTag w:uri="urn:schemas-microsoft-com:office:smarttags" w:element="place">
          <w:r w:rsidRPr="00260B50">
            <w:rPr>
              <w:color w:val="000000"/>
            </w:rPr>
            <w:t>United States</w:t>
          </w:r>
        </w:smartTag>
      </w:smartTag>
      <w:r w:rsidRPr="00260B50">
        <w:rPr>
          <w:color w:val="000000"/>
        </w:rPr>
        <w:t xml:space="preserve"> District Court </w:t>
      </w:r>
      <w:r>
        <w:rPr>
          <w:color w:val="000000"/>
        </w:rPr>
        <w:t>f</w:t>
      </w:r>
      <w:r w:rsidRPr="00260B50">
        <w:rPr>
          <w:color w:val="000000"/>
        </w:rPr>
        <w:t xml:space="preserve">or </w:t>
      </w:r>
      <w:r>
        <w:rPr>
          <w:color w:val="000000"/>
        </w:rPr>
        <w:t>the District o</w:t>
      </w:r>
      <w:r w:rsidRPr="00260B50">
        <w:rPr>
          <w:color w:val="000000"/>
        </w:rPr>
        <w:t>f Delaware</w:t>
      </w:r>
    </w:p>
    <w:p w:rsidR="00032A5B" w:rsidRPr="00260B50" w:rsidRDefault="00032A5B" w:rsidP="00032A5B">
      <w:pPr>
        <w:jc w:val="center"/>
        <w:rPr>
          <w:color w:val="000000"/>
        </w:rPr>
      </w:pPr>
      <w:r w:rsidRPr="00260B50">
        <w:rPr>
          <w:color w:val="000000"/>
        </w:rPr>
        <w:br/>
        <w:t>660 F. Supp. 852</w:t>
      </w:r>
      <w:r w:rsidRPr="00260B50">
        <w:rPr>
          <w:color w:val="000000"/>
        </w:rPr>
        <w:br/>
        <w:t> </w:t>
      </w:r>
      <w:r w:rsidRPr="00260B50">
        <w:rPr>
          <w:color w:val="000000"/>
        </w:rPr>
        <w:br/>
        <w:t>May 20, 1987</w:t>
      </w:r>
    </w:p>
    <w:p w:rsidR="00032A5B" w:rsidRPr="00260B50" w:rsidRDefault="00032A5B" w:rsidP="00032A5B">
      <w:pPr>
        <w:rPr>
          <w:color w:val="000000"/>
        </w:rPr>
      </w:pPr>
      <w:r w:rsidRPr="00260B50">
        <w:rPr>
          <w:color w:val="000000"/>
        </w:rPr>
        <w:br/>
        <w:t xml:space="preserve"> </w:t>
      </w:r>
      <w:r w:rsidRPr="00260B50">
        <w:rPr>
          <w:color w:val="000000"/>
        </w:rPr>
        <w:br/>
      </w:r>
      <w:r w:rsidRPr="00260B50">
        <w:rPr>
          <w:bCs/>
          <w:color w:val="000000"/>
        </w:rPr>
        <w:t>OPINION:</w:t>
      </w:r>
      <w:r w:rsidRPr="00260B50">
        <w:rPr>
          <w:color w:val="000000"/>
        </w:rPr>
        <w:t xml:space="preserve"> Senior Judge Latchum.</w:t>
      </w:r>
      <w:r w:rsidRPr="00260B50">
        <w:rPr>
          <w:color w:val="000000"/>
        </w:rPr>
        <w:br/>
      </w:r>
    </w:p>
    <w:p w:rsidR="00032A5B" w:rsidRPr="00260B50" w:rsidRDefault="00032A5B" w:rsidP="00032A5B">
      <w:pPr>
        <w:rPr>
          <w:color w:val="000000"/>
        </w:rPr>
      </w:pPr>
      <w:r w:rsidRPr="00260B50">
        <w:rPr>
          <w:color w:val="000000"/>
        </w:rPr>
        <w:br/>
      </w:r>
      <w:r w:rsidRPr="00260B50">
        <w:rPr>
          <w:bCs/>
          <w:color w:val="000000"/>
        </w:rPr>
        <w:t>I. INTRODUCTION</w:t>
      </w:r>
      <w:r w:rsidRPr="00260B50">
        <w:rPr>
          <w:color w:val="000000"/>
        </w:rPr>
        <w:br/>
      </w:r>
      <w:r w:rsidRPr="00260B50">
        <w:rPr>
          <w:color w:val="000000"/>
        </w:rPr>
        <w:br/>
        <w:t>Plaintiff Daniel Miller ("Miller"), a commercial photographer, instituted this action against defendant Newsweek, Inc. ("Newsweek"), seeking $108,000 in damages for the alleged loss of 72 photographic negatives sent by Miller to Newsweek.  Miller's complaint consists of two counts. Count One is a breach of contract claim, alleging that Newsweek breached its contract with Miller by failing to return the negatives.  Count Two sounds in tort, and asserts that Newsweek negligently breached its duty as a bailee by losing the negatives. Newsweek filed an answer denying liability under both theories. Jurisdiction in this court is proper under the diversity jurisdiction provision . . . , since the parties are citizens of different states and the amount in controversy exceeds $10,000.</w:t>
      </w:r>
    </w:p>
    <w:p w:rsidR="00032A5B" w:rsidRDefault="00032A5B" w:rsidP="00032A5B">
      <w:pPr>
        <w:rPr>
          <w:color w:val="000000"/>
        </w:rPr>
      </w:pPr>
      <w:r w:rsidRPr="00260B50">
        <w:rPr>
          <w:color w:val="000000"/>
        </w:rPr>
        <w:t xml:space="preserve"> </w:t>
      </w:r>
      <w:r w:rsidRPr="00260B50">
        <w:rPr>
          <w:color w:val="000000"/>
        </w:rPr>
        <w:br/>
        <w:t>Presently before this Court are the parties' cross motions for summary judgment. Miller requests a judgment on both counts of his complaint and Newsweek seeks dismissal of both counts. . . .</w:t>
      </w:r>
      <w:r w:rsidRPr="00260B50">
        <w:rPr>
          <w:color w:val="000000"/>
        </w:rPr>
        <w:br/>
        <w:t> </w:t>
      </w:r>
      <w:r w:rsidRPr="00260B50">
        <w:rPr>
          <w:color w:val="000000"/>
        </w:rPr>
        <w:br/>
      </w:r>
    </w:p>
    <w:p w:rsidR="00032A5B" w:rsidRPr="00260B50" w:rsidRDefault="00032A5B" w:rsidP="00032A5B">
      <w:pPr>
        <w:rPr>
          <w:color w:val="000000"/>
        </w:rPr>
      </w:pPr>
      <w:r w:rsidRPr="00260B50">
        <w:rPr>
          <w:bCs/>
          <w:color w:val="000000"/>
        </w:rPr>
        <w:t>II. FACTUAL BACKGROUND</w:t>
      </w:r>
      <w:r w:rsidRPr="00260B50">
        <w:rPr>
          <w:color w:val="000000"/>
        </w:rPr>
        <w:br/>
      </w:r>
      <w:r w:rsidRPr="00260B50">
        <w:rPr>
          <w:color w:val="000000"/>
        </w:rPr>
        <w:br/>
        <w:t>The facts of this case are straightforward and to a great extent not disputed.</w:t>
      </w:r>
      <w:r w:rsidRPr="00260B50">
        <w:rPr>
          <w:color w:val="000000"/>
        </w:rPr>
        <w:br/>
      </w:r>
      <w:r w:rsidRPr="00260B50">
        <w:rPr>
          <w:color w:val="000000"/>
        </w:rPr>
        <w:br/>
        <w:t>In August of 1982, Miller was asked by the New York Times ("the Times") to photograph Irving Shapiro ("Shapiro"), the former chairman of the Board of the DuPont Company. Shapiro had recently resigned from DuPont and embarked on a career as a corporate attorney. The Times planned to run an article with photos of Shapiro  at work in his new career.  Miller accepted the Times assignment and took 72 black and white photos of Shapiro at his law office.  The Times used one of the photos in its article, but all of the photos remained Miller's property.</w:t>
      </w:r>
      <w:r w:rsidRPr="00260B50">
        <w:rPr>
          <w:color w:val="000000"/>
        </w:rPr>
        <w:br/>
      </w:r>
      <w:r w:rsidRPr="00260B50">
        <w:rPr>
          <w:color w:val="000000"/>
        </w:rPr>
        <w:br/>
        <w:t>Sometime after the Times' article, Newsweek also decided to do a story on Shapiro and needed to obtain photos to illustrate the story.  After seeing the Shapiro photo in the Times, Newsweek's photo researcher, F. Joseph Dwyer ("Dwyer"), contacted Miller in an attempt to acquire a Shapiro photo.</w:t>
      </w:r>
      <w:r w:rsidRPr="00260B50">
        <w:rPr>
          <w:color w:val="000000"/>
        </w:rPr>
        <w:br/>
      </w:r>
      <w:r w:rsidRPr="00260B50">
        <w:rPr>
          <w:color w:val="000000"/>
        </w:rPr>
        <w:br/>
        <w:t xml:space="preserve">Dwyer telephoned Miller at his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residence and requested that he send all of his Shapiro negatives to Newsweek so its photo editors could have the "luxury of  editing it" themselves. Miller responded favorably to Newsweek's request, and the parties agreed that Newsweek would send a courier to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to pick up the negatives. The parties further agreed that Newsweek would pay Miller the space rate for any photos it used in its article.  Newsweek dispatched a courier to  pick up the negatives and the negatives arrived safely at Newsweek's </w:t>
      </w:r>
      <w:smartTag w:uri="urn:schemas-microsoft-com:office:smarttags" w:element="State">
        <w:smartTag w:uri="urn:schemas-microsoft-com:office:smarttags" w:element="place">
          <w:r w:rsidRPr="00260B50">
            <w:rPr>
              <w:color w:val="000000"/>
            </w:rPr>
            <w:t>New York</w:t>
          </w:r>
        </w:smartTag>
      </w:smartTag>
      <w:r w:rsidRPr="00260B50">
        <w:rPr>
          <w:color w:val="000000"/>
        </w:rPr>
        <w:t xml:space="preserve"> office. </w:t>
      </w:r>
      <w:r w:rsidRPr="00260B50">
        <w:rPr>
          <w:color w:val="000000"/>
        </w:rPr>
        <w:br/>
      </w:r>
      <w:r w:rsidRPr="00260B50">
        <w:rPr>
          <w:color w:val="000000"/>
        </w:rPr>
        <w:br/>
        <w:t xml:space="preserve">For reasons unrelated to this litigation, Newsweek decided not to run the Shapiro story, and Miller's photos were never used. The 72 Shapiro negatives were never returned to Miller.  Newsweek still cannot find the negatives and they are presumed lost. </w:t>
      </w:r>
      <w:r w:rsidRPr="00260B50">
        <w:rPr>
          <w:color w:val="000000"/>
        </w:rPr>
        <w:br/>
      </w:r>
      <w:r w:rsidRPr="00260B50">
        <w:rPr>
          <w:color w:val="000000"/>
        </w:rPr>
        <w:br/>
        <w:t>Miller maintains that he sent a document known as a Delivery Memo to Newsweek along with the Shapiro negatives. Although Newsweek's employees cannot recall one way or the other whether they received Miller's Delivery Memo, they admit that such memos are common in the photojournalism industry and that it is normal for photographers to include Delivery Memos when sending negatives.</w:t>
      </w:r>
      <w:r w:rsidRPr="00260B50">
        <w:rPr>
          <w:color w:val="000000"/>
        </w:rPr>
        <w:br/>
      </w:r>
    </w:p>
    <w:p w:rsidR="00032A5B" w:rsidRPr="00260B50" w:rsidRDefault="00032A5B" w:rsidP="00032A5B">
      <w:pPr>
        <w:rPr>
          <w:color w:val="000000"/>
        </w:rPr>
      </w:pPr>
      <w:r w:rsidRPr="00260B50">
        <w:rPr>
          <w:color w:val="000000"/>
        </w:rPr>
        <w:br/>
        <w:t xml:space="preserve">The Delivery Memo used by Miller contains numerous provisions which purport to form the terms and conditions of a contract.  The two provisions relevant for our purposes state:  </w:t>
      </w:r>
    </w:p>
    <w:p w:rsidR="00032A5B" w:rsidRPr="00260B50" w:rsidRDefault="00032A5B" w:rsidP="00032A5B">
      <w:pPr>
        <w:rPr>
          <w:color w:val="000000"/>
        </w:rPr>
      </w:pPr>
    </w:p>
    <w:p w:rsidR="00032A5B" w:rsidRPr="00260B50" w:rsidRDefault="00032A5B" w:rsidP="00032A5B">
      <w:pPr>
        <w:ind w:left="720"/>
        <w:rPr>
          <w:color w:val="000000"/>
        </w:rPr>
      </w:pPr>
      <w:r>
        <w:rPr>
          <w:color w:val="000000"/>
        </w:rPr>
        <w:t>“</w:t>
      </w:r>
      <w:r w:rsidRPr="00260B50">
        <w:rPr>
          <w:color w:val="000000"/>
        </w:rPr>
        <w:t>4. The monetary damage for loss or damage of an original transparency or negative shall be determined by the value of each individual photograph. Recipient agrees, however, that the reasonable minimum value of such lost or damaged photograph shall be no less than FIFTEEN HUNDRED ($1,500.00) DOLLARS.   DM agrees to the delivery of the goods herein only upon the express covenant and understanding by Recipient . . . that the terms contained in this Paragraph "4" are material to this agreement. Recipient assumes full liability for its employees, agents, assigns, messengers and freelance researchers for the loss, damage or misuse of the photographs.</w:t>
      </w:r>
      <w:r>
        <w:rPr>
          <w:color w:val="000000"/>
        </w:rPr>
        <w:t>”</w:t>
      </w:r>
    </w:p>
    <w:p w:rsidR="00032A5B" w:rsidRPr="00260B50" w:rsidRDefault="00032A5B" w:rsidP="00032A5B">
      <w:pPr>
        <w:rPr>
          <w:color w:val="000000"/>
        </w:rPr>
      </w:pPr>
      <w:r w:rsidRPr="00260B50">
        <w:rPr>
          <w:color w:val="000000"/>
        </w:rPr>
        <w:br/>
        <w:t xml:space="preserve">There is no evidence that anyone at Newsweek ever read the memo, let alone signed or agreed to its terms. In fact, Dwyer claims never to have read any Delivery Memos. </w:t>
      </w:r>
      <w:r>
        <w:rPr>
          <w:color w:val="000000"/>
        </w:rPr>
        <w:t xml:space="preserve"> </w:t>
      </w:r>
      <w:r w:rsidRPr="00260B50">
        <w:rPr>
          <w:color w:val="000000"/>
        </w:rPr>
        <w:t xml:space="preserve">This seems to be the general practice in the industry. </w:t>
      </w:r>
      <w:r w:rsidRPr="00260B50">
        <w:rPr>
          <w:color w:val="000000"/>
        </w:rPr>
        <w:br/>
      </w:r>
    </w:p>
    <w:p w:rsidR="00032A5B" w:rsidRDefault="00032A5B" w:rsidP="00032A5B">
      <w:pPr>
        <w:rPr>
          <w:bCs/>
          <w:color w:val="000000"/>
        </w:rPr>
      </w:pPr>
    </w:p>
    <w:p w:rsidR="00032A5B" w:rsidRPr="00260B50" w:rsidRDefault="00032A5B" w:rsidP="00032A5B">
      <w:pPr>
        <w:rPr>
          <w:color w:val="000000"/>
        </w:rPr>
      </w:pPr>
      <w:r w:rsidRPr="00260B50">
        <w:rPr>
          <w:bCs/>
          <w:color w:val="000000"/>
        </w:rPr>
        <w:t>III. ANALYSIS</w:t>
      </w:r>
      <w:r w:rsidRPr="00260B50">
        <w:rPr>
          <w:color w:val="000000"/>
        </w:rPr>
        <w:br/>
      </w:r>
      <w:r w:rsidRPr="00260B50">
        <w:rPr>
          <w:color w:val="000000"/>
        </w:rPr>
        <w:br/>
      </w:r>
      <w:r w:rsidRPr="00260B50">
        <w:rPr>
          <w:bCs/>
          <w:color w:val="000000"/>
        </w:rPr>
        <w:t>A. Choice of Law</w:t>
      </w:r>
      <w:r w:rsidRPr="00260B50">
        <w:rPr>
          <w:color w:val="000000"/>
        </w:rPr>
        <w:br/>
      </w:r>
      <w:r w:rsidRPr="00260B50">
        <w:rPr>
          <w:color w:val="000000"/>
        </w:rPr>
        <w:br/>
        <w:t xml:space="preserve">Before addressing the merits of the parties' cross motions, the court must determine what substantive law to apply. Since jurisdiction in this court is based on diversity, the Court must use the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choice of law principles.</w:t>
      </w:r>
    </w:p>
    <w:p w:rsidR="00032A5B" w:rsidRPr="00260B50" w:rsidRDefault="00032A5B" w:rsidP="00032A5B">
      <w:pPr>
        <w:rPr>
          <w:color w:val="000000"/>
        </w:rPr>
      </w:pPr>
      <w:r w:rsidRPr="00260B50">
        <w:rPr>
          <w:color w:val="000000"/>
        </w:rPr>
        <w:br/>
        <w:t xml:space="preserve">Under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choice of law principles, both counts of Miller's complaint must be decided under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substantive law.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law applies to the Count One contract claim because the contract was formed in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w:t>
      </w:r>
      <w:r>
        <w:rPr>
          <w:color w:val="000000"/>
        </w:rPr>
        <w:t xml:space="preserve"> </w:t>
      </w:r>
      <w:r w:rsidRPr="00260B50">
        <w:rPr>
          <w:color w:val="000000"/>
        </w:rPr>
        <w:t>A contract is formed at the moment the final act necessary for its creation takes place. The law of the place of this final act must thus govern.</w:t>
      </w:r>
      <w:r w:rsidRPr="00260B50">
        <w:rPr>
          <w:color w:val="000000"/>
        </w:rPr>
        <w:br/>
      </w:r>
      <w:r w:rsidRPr="00260B50">
        <w:rPr>
          <w:color w:val="000000"/>
        </w:rPr>
        <w:br/>
      </w:r>
      <w:r>
        <w:rPr>
          <w:color w:val="000000"/>
        </w:rPr>
        <w:t>T</w:t>
      </w:r>
      <w:r w:rsidRPr="00260B50">
        <w:rPr>
          <w:color w:val="000000"/>
        </w:rPr>
        <w:t xml:space="preserve">his Court finds that the final act which created the contract in the case at bar was Miller's acceptance on the telephone of Newsweek's offer to review the Shapiro negatives for possible publication. Since an acceptance is effective from the moment it is given, the contract was formed in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where Miller tendered that acceptance, and thus it is the law of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which must govern.</w:t>
      </w:r>
      <w:r w:rsidRPr="00260B50">
        <w:rPr>
          <w:color w:val="000000"/>
        </w:rPr>
        <w:br/>
      </w:r>
      <w:r w:rsidRPr="00260B50">
        <w:rPr>
          <w:color w:val="000000"/>
        </w:rPr>
        <w:br/>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law also applies to Miller's tort claim.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courts adhere to the traditional </w:t>
      </w:r>
      <w:r w:rsidRPr="00260B50">
        <w:rPr>
          <w:i/>
          <w:iCs/>
          <w:color w:val="000000"/>
        </w:rPr>
        <w:t>lex loci delicti</w:t>
      </w:r>
      <w:r w:rsidRPr="00260B50">
        <w:rPr>
          <w:color w:val="000000"/>
        </w:rPr>
        <w:t xml:space="preserve"> rule and apply the substantive law of the place of the tort.  The place of the tort for choice of law purposes is not where the negligent conduct which gave rise to the tort occurred, but where the last act necessary for tort liability, the injury, occurred. . . .  In this case the alleged injury was financial only, and the Court must therefore determine where Miller first incurred financial loss. Since Miller was a citizen of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during all times relevant to this litigation, the court concludes that his financial loss occurred here in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and will thus apply this state's substantive tort law.</w:t>
      </w:r>
      <w:r w:rsidRPr="00260B50">
        <w:rPr>
          <w:color w:val="000000"/>
        </w:rPr>
        <w:br/>
      </w:r>
      <w:r w:rsidRPr="00260B50">
        <w:rPr>
          <w:color w:val="000000"/>
        </w:rPr>
        <w:br/>
      </w:r>
      <w:r w:rsidRPr="00260B50">
        <w:rPr>
          <w:bCs/>
          <w:color w:val="000000"/>
        </w:rPr>
        <w:t>B. Count One: The Delivery Memo</w:t>
      </w:r>
      <w:r w:rsidRPr="00260B50">
        <w:rPr>
          <w:color w:val="000000"/>
        </w:rPr>
        <w:br/>
      </w:r>
      <w:r w:rsidRPr="00260B50">
        <w:rPr>
          <w:color w:val="000000"/>
        </w:rPr>
        <w:br/>
        <w:t>In Count One of the complaint, Miller contends that the Delivery Memo he sent to Newsweek along with the Shapiro negatives constitutes a valid contract and Newsweek is liable for the loss of those negatives under the liquidated damages and late penalty clauses of that contract.  In response Newsweek insists that the Delivery Memo has no legal significance and its terms are thus not enforceable against it.  The Court agrees with Newsweek.</w:t>
      </w:r>
      <w:r w:rsidRPr="00260B50">
        <w:rPr>
          <w:color w:val="000000"/>
        </w:rPr>
        <w:br/>
      </w:r>
      <w:r w:rsidRPr="00260B50">
        <w:rPr>
          <w:color w:val="000000"/>
        </w:rPr>
        <w:br/>
        <w:t xml:space="preserve">A preliminary dispute between the parties centers on the applicability of Article II of the Uniform Commercial Code ("UCC")  to the transaction herein. </w:t>
      </w:r>
      <w:r>
        <w:rPr>
          <w:color w:val="000000"/>
        </w:rPr>
        <w:t xml:space="preserve"> </w:t>
      </w:r>
      <w:r w:rsidRPr="00260B50">
        <w:rPr>
          <w:color w:val="000000"/>
        </w:rPr>
        <w:t>Newsweek contends that if a contract does exist between the parties, it is a bailment contract, not a sales contract, and thus not within the scope of Article II.   Miller responds that Article II applies to all "transactions in goods," not just sales transactions, and is thus applicable to bailment contracts.</w:t>
      </w:r>
      <w:r w:rsidRPr="00260B50">
        <w:rPr>
          <w:color w:val="000000"/>
        </w:rPr>
        <w:br/>
      </w:r>
      <w:r w:rsidRPr="00260B50">
        <w:rPr>
          <w:color w:val="000000"/>
        </w:rPr>
        <w:br/>
        <w:t>The law on this issue is unclear. There are no reported decisions of the Delaware Supreme Court defining the scope of Article II</w:t>
      </w:r>
      <w:r>
        <w:rPr>
          <w:color w:val="000000"/>
        </w:rPr>
        <w:t xml:space="preserve">. . . </w:t>
      </w:r>
      <w:r w:rsidRPr="00260B50">
        <w:rPr>
          <w:color w:val="000000"/>
        </w:rPr>
        <w:t>.  Moreover, the courts of other jurisdictions disagree as to whether Article II applies to bailment contracts.</w:t>
      </w:r>
      <w:r w:rsidRPr="00260B50">
        <w:rPr>
          <w:color w:val="000000"/>
        </w:rPr>
        <w:br/>
      </w:r>
      <w:r w:rsidRPr="00260B50">
        <w:rPr>
          <w:color w:val="000000"/>
        </w:rPr>
        <w:br/>
        <w:t xml:space="preserve">When faced with no authoritative decisions of a state's highest court on an issue, a federal court applying that state's law must predict how that court would rule if presented with the issue. </w:t>
      </w:r>
      <w:r>
        <w:rPr>
          <w:color w:val="000000"/>
        </w:rPr>
        <w:t xml:space="preserve"> </w:t>
      </w:r>
      <w:r w:rsidRPr="00260B50">
        <w:rPr>
          <w:color w:val="000000"/>
        </w:rPr>
        <w:t xml:space="preserve">In the present case, the Court need not apply this imprecise procedure since the Delivery Memo does not constitute a valid contract under either Article II or the common law and it is thus unnecessary to decide whether Article II applies to bailment contracts. </w:t>
      </w:r>
      <w:r>
        <w:rPr>
          <w:color w:val="000000"/>
        </w:rPr>
        <w:t xml:space="preserve"> </w:t>
      </w:r>
      <w:r w:rsidRPr="00260B50">
        <w:rPr>
          <w:color w:val="000000"/>
        </w:rPr>
        <w:t xml:space="preserve">This is the preferred result since defining the scope of Article II is clearly a chore best left for the </w:t>
      </w:r>
      <w:smartTag w:uri="urn:schemas-microsoft-com:office:smarttags" w:element="State">
        <w:smartTag w:uri="urn:schemas-microsoft-com:office:smarttags" w:element="place">
          <w:r w:rsidRPr="00260B50">
            <w:rPr>
              <w:color w:val="000000"/>
            </w:rPr>
            <w:t>Delaware</w:t>
          </w:r>
        </w:smartTag>
      </w:smartTag>
      <w:r w:rsidRPr="00260B50">
        <w:rPr>
          <w:color w:val="000000"/>
        </w:rPr>
        <w:t xml:space="preserve"> courts.</w:t>
      </w:r>
      <w:r w:rsidRPr="00260B50">
        <w:rPr>
          <w:color w:val="000000"/>
        </w:rPr>
        <w:br/>
      </w:r>
      <w:r w:rsidRPr="00260B50">
        <w:rPr>
          <w:color w:val="000000"/>
        </w:rPr>
        <w:br/>
        <w:t xml:space="preserve">Turning to the parties' contentions, Miller offers the following interpretation of the parties' dealings in support of his </w:t>
      </w:r>
      <w:r w:rsidRPr="00260B50">
        <w:rPr>
          <w:color w:val="000000"/>
        </w:rPr>
        <w:lastRenderedPageBreak/>
        <w:t xml:space="preserve">position that the Delivery Memo constitutes a valid contract. Miller maintains that the first contact between the parties, the Dwyer telephone call, was an invitation by Newsweek for Miller to submit an offer. Miller's conduct in sending the Shapiro negatives, accompanied by the Delivery Memo, then constituted an offer to enter into a contract with the terms expressed in the Delivery Memo. Newsweek's conduct in accepting the negatives, without objecting to the terms of the Delivery Memo, would then have constituted an acceptance of the contract and its terms under </w:t>
      </w:r>
      <w:r>
        <w:rPr>
          <w:color w:val="000000"/>
        </w:rPr>
        <w:t xml:space="preserve">UCC </w:t>
      </w:r>
      <w:r w:rsidRPr="00260B50">
        <w:rPr>
          <w:color w:val="000000"/>
        </w:rPr>
        <w:t>Section 2-204.</w:t>
      </w:r>
      <w:r w:rsidRPr="00260B50">
        <w:rPr>
          <w:color w:val="000000"/>
        </w:rPr>
        <w:br/>
      </w:r>
      <w:r w:rsidRPr="00260B50">
        <w:rPr>
          <w:color w:val="000000"/>
        </w:rPr>
        <w:br/>
        <w:t>The Court has a totally different view of the legal significance of the parties' contacts. The uncontroverted evidence demonstrates that a valid and enforceable contract was formed during the initial telephone conversation between Miller and Dwyer.</w:t>
      </w:r>
      <w:r w:rsidRPr="00260B50">
        <w:rPr>
          <w:color w:val="000000"/>
        </w:rPr>
        <w:br/>
      </w:r>
      <w:r w:rsidRPr="00260B50">
        <w:rPr>
          <w:color w:val="000000"/>
        </w:rPr>
        <w:br/>
        <w:t>Miller's own deposition testimony suggests this result. Miller testified that Dwyer telephoned him and asked to review the Shapiro negatives for possible publication in a story that Newsweek was considering running on Shapiro. Miller accepted this offer with an enthusiastic "why certainly." The parties then set many of the important terms of the contract. The parties agreed as to the quantity of negatives, time, place,   and manner of delivery, and even the price Newsweek would pay in the event it purchased the use of one or more negatives.  The Court finds that this conversation manifested a clear and unambiguous intention on the part of both parties to enter into a binding agreement. Nothing more is required for a valid and enforceable contract to exist under Article II.</w:t>
      </w:r>
    </w:p>
    <w:p w:rsidR="00032A5B" w:rsidRPr="00260B50" w:rsidRDefault="00032A5B" w:rsidP="00032A5B">
      <w:pPr>
        <w:rPr>
          <w:color w:val="000000"/>
        </w:rPr>
      </w:pPr>
      <w:r w:rsidRPr="00260B50">
        <w:rPr>
          <w:color w:val="000000"/>
        </w:rPr>
        <w:br/>
        <w:t>A valid and enforceable contract having been formed on the telephone, the Delivery Memo constituted a written confirmation of an existing contract under section 2-207 of the UCC. Section 2-207 applies in situations like the one herein where an oral agreement has been reached and one or both of the parties send written confirmation of that agreement including additional terms not previously discussed.  The fact that the confirmation contains additional terms has no affect on the validity of the original acceptance. As between merchants, the additional terms become part of the contract unless they materially alter it or the opposing party has previously objected to them or does so within a reasonable time.</w:t>
      </w:r>
      <w:r w:rsidRPr="00260B50">
        <w:rPr>
          <w:color w:val="000000"/>
        </w:rPr>
        <w:br/>
      </w:r>
      <w:r w:rsidRPr="00260B50">
        <w:rPr>
          <w:color w:val="000000"/>
        </w:rPr>
        <w:br/>
        <w:t>Miller contends that the additional terms expressed in the Delivery Memo were incorporated into the contract under section 2-207 since the terms do not materially alter the contract and Newsweek never objected to them. Newsweek admits that it failed to object to the terms, but insists that the terms would materially alter the contract and thus were not incorporated into it. The Court agrees with Newsweek.</w:t>
      </w:r>
      <w:r w:rsidRPr="00260B50">
        <w:rPr>
          <w:color w:val="000000"/>
        </w:rPr>
        <w:br/>
      </w:r>
      <w:r w:rsidRPr="00260B50">
        <w:rPr>
          <w:color w:val="000000"/>
        </w:rPr>
        <w:br/>
        <w:t>The Delivery Memo contains numerous terms not contained in the original oral contract.  However, Miller's contract claim is based on the liquidated damages and late penalty clauses of the Delivery Memo only. Thus the Court will limit its discussion of section 2-207 to those clauses.</w:t>
      </w:r>
      <w:r w:rsidRPr="00260B50">
        <w:rPr>
          <w:color w:val="000000"/>
        </w:rPr>
        <w:br/>
      </w:r>
      <w:r w:rsidRPr="00260B50">
        <w:rPr>
          <w:color w:val="000000"/>
        </w:rPr>
        <w:br/>
        <w:t xml:space="preserve">Neither the text of section 2-207 nor its comments expressly define the phrase "materially alter." </w:t>
      </w:r>
      <w:r>
        <w:rPr>
          <w:color w:val="000000"/>
        </w:rPr>
        <w:t xml:space="preserve"> </w:t>
      </w:r>
      <w:r w:rsidRPr="00260B50">
        <w:rPr>
          <w:color w:val="000000"/>
        </w:rPr>
        <w:t>Even so, some courts have inferred one possible test from the comments.  A term materially alters a contract if incorporation of that term would result in surprise or undue hardship to the party opposing the incorporation.</w:t>
      </w:r>
      <w:r w:rsidRPr="00260B50">
        <w:rPr>
          <w:color w:val="000000"/>
        </w:rPr>
        <w:br/>
      </w:r>
      <w:r w:rsidRPr="00260B50">
        <w:rPr>
          <w:color w:val="000000"/>
        </w:rPr>
        <w:br/>
        <w:t xml:space="preserve">Both the liquidated damages and late penalty clauses would result in surprise and undue hardship to Newsweek if incorporated into the oral contract. In forming the original agreement the parties never discussed any liquidated damages or late penalty provisions.  The parties never focused on the possibility that the film might be returned late or not at all.  To include these terms in the contract simply because they appeared in a unilateral proposal offered by Miller would surely result in a surprise to Newsweek, especially considering that Newsweek's employees never read the Delivery Memo, as was the common practice in the industry. </w:t>
      </w:r>
      <w:r w:rsidRPr="00260B50">
        <w:rPr>
          <w:color w:val="000000"/>
        </w:rPr>
        <w:br/>
      </w:r>
      <w:r w:rsidRPr="00260B50">
        <w:rPr>
          <w:color w:val="000000"/>
        </w:rPr>
        <w:br/>
        <w:t>Incorporating these two terms would also result in undue hardship to Newsweek. The contract contemplated that Newsweek would review the 72 negatives at no cost to it, with an option to purchase the use of one or more of those negatives for $100</w:t>
      </w:r>
      <w:r>
        <w:rPr>
          <w:color w:val="000000"/>
        </w:rPr>
        <w:t>−</w:t>
      </w:r>
      <w:r w:rsidRPr="00260B50">
        <w:rPr>
          <w:color w:val="000000"/>
        </w:rPr>
        <w:t>$200.  It would be extremely unfair for this Court to impose a liquidated damages figure of $1,500 per negative or a late penalty of $5.00 per negative per week on Newsweek when the contract clearly indicates that the negatives were only worth $100–$200 apiece to Newsweek. There is no evidence to suggest that Newsweek would have entered into a contract which exposed it to such severe penalties when the value of each negative to it was so low.</w:t>
      </w:r>
      <w:r w:rsidRPr="00260B50">
        <w:rPr>
          <w:color w:val="000000"/>
        </w:rPr>
        <w:br/>
      </w:r>
      <w:r w:rsidRPr="00260B50">
        <w:rPr>
          <w:color w:val="000000"/>
        </w:rPr>
        <w:br/>
        <w:t>In sum, the court finds that incorporation of the liquidated damages and late penalty clauses into the contract would materially alter the contract, and they must therefore be disregarded.</w:t>
      </w:r>
      <w:r w:rsidRPr="00260B50">
        <w:rPr>
          <w:color w:val="000000"/>
        </w:rPr>
        <w:br/>
      </w:r>
      <w:r w:rsidRPr="00260B50">
        <w:rPr>
          <w:color w:val="000000"/>
        </w:rPr>
        <w:br/>
        <w:t xml:space="preserve">Miller's final argument in support of his Count One contract claim is based on the common law, not Article II of the UCC. </w:t>
      </w:r>
      <w:r>
        <w:rPr>
          <w:color w:val="000000"/>
        </w:rPr>
        <w:t xml:space="preserve">. . .  </w:t>
      </w:r>
      <w:r w:rsidRPr="00260B50">
        <w:rPr>
          <w:color w:val="000000"/>
        </w:rPr>
        <w:t xml:space="preserve">Under the common law, the result remains basically the same. The oral agreement reached on the telephone still constitutes a binding contract since the parties demonstrated an unambiguous intent to enter into a contract, agreed on the </w:t>
      </w:r>
      <w:r w:rsidRPr="00260B50">
        <w:rPr>
          <w:color w:val="000000"/>
        </w:rPr>
        <w:lastRenderedPageBreak/>
        <w:t xml:space="preserve">essential terms of that contract, and supported the agreement with valid consideration. </w:t>
      </w:r>
      <w:r w:rsidRPr="00260B50">
        <w:rPr>
          <w:color w:val="000000"/>
        </w:rPr>
        <w:br/>
      </w:r>
      <w:r w:rsidRPr="00260B50">
        <w:rPr>
          <w:color w:val="000000"/>
        </w:rPr>
        <w:br/>
        <w:t>A valid contract having been formed on the telephone, the Delivery Memo can only be considered as an offer by Miller to modify the existing contract. An offer to modify a contract is ineffective unless agreed to by all parties and supported by valid consideration.</w:t>
      </w:r>
      <w:r>
        <w:rPr>
          <w:color w:val="000000"/>
        </w:rPr>
        <w:t xml:space="preserve"> . . . </w:t>
      </w:r>
      <w:r w:rsidRPr="00260B50">
        <w:rPr>
          <w:color w:val="000000"/>
        </w:rPr>
        <w:t>Newsweek never agreed to any of the terms of the Delivery Memo and no additional consideration was present. Thus, the terms of the Delivery Memo are unenforceable under common law as well.</w:t>
      </w:r>
      <w:r w:rsidRPr="00260B50">
        <w:rPr>
          <w:color w:val="000000"/>
        </w:rPr>
        <w:br/>
      </w:r>
      <w:r w:rsidRPr="00260B50">
        <w:rPr>
          <w:color w:val="000000"/>
        </w:rPr>
        <w:br/>
        <w:t>Based on the above, the court concludes that the terms of the Delivery Memo are not enforceable against Newsweek and Miller's claim for liquidated damages and late penalties under those terms must fail. Accordingly, the Court will grant Newsweek's motion for summary judgment as to Count One of Miller's complaint, deny Miller's summary judgment  motion as to Count One, and dismiss Count One.</w:t>
      </w:r>
      <w:r w:rsidRPr="00260B50">
        <w:rPr>
          <w:color w:val="000000"/>
        </w:rPr>
        <w:br/>
      </w:r>
      <w:r w:rsidRPr="00260B50">
        <w:rPr>
          <w:color w:val="000000"/>
        </w:rPr>
        <w:br/>
      </w:r>
      <w:r w:rsidRPr="00260B50">
        <w:rPr>
          <w:bCs/>
          <w:color w:val="000000"/>
        </w:rPr>
        <w:t>C. Count Two: The Bailment Relationship</w:t>
      </w:r>
      <w:r w:rsidRPr="00260B50">
        <w:rPr>
          <w:color w:val="000000"/>
        </w:rPr>
        <w:br/>
      </w:r>
    </w:p>
    <w:p w:rsidR="00032A5B" w:rsidRPr="00260B50" w:rsidRDefault="00032A5B" w:rsidP="00032A5B">
      <w:pPr>
        <w:rPr>
          <w:color w:val="000000"/>
        </w:rPr>
      </w:pPr>
      <w:r w:rsidRPr="00260B50">
        <w:rPr>
          <w:color w:val="000000"/>
        </w:rPr>
        <w:t xml:space="preserve">In Count Two, Miller contends that Newsweek is liable for the reasonable value of the lost negatives due to its negligent breach of its duties as a bailee. </w:t>
      </w:r>
      <w:r>
        <w:rPr>
          <w:color w:val="000000"/>
        </w:rPr>
        <w:t xml:space="preserve">. . . </w:t>
      </w:r>
      <w:r w:rsidRPr="00260B50">
        <w:rPr>
          <w:color w:val="000000"/>
        </w:rPr>
        <w:br/>
      </w:r>
      <w:r w:rsidRPr="00260B50">
        <w:rPr>
          <w:color w:val="000000"/>
        </w:rPr>
        <w:br/>
        <w:t xml:space="preserve">Newsweek owed a duty of reasonable care in its handling of the negatives. . . . Miller claims Newsweek breached that duty by failing to employ adequate recordkeeping procedures for keeping track of black and white negatives submitted for publication.  In response Newsweek insists that there is a genuine issue of material fact regarding the reasonableness of its conduct, and summary judgment is thus inappropriate. . . . </w:t>
      </w:r>
      <w:r w:rsidRPr="00260B50">
        <w:rPr>
          <w:color w:val="000000"/>
        </w:rPr>
        <w:br/>
      </w:r>
      <w:r w:rsidRPr="00260B50">
        <w:rPr>
          <w:color w:val="000000"/>
        </w:rPr>
        <w:br/>
        <w:t xml:space="preserve">Miller has established by uncontroverted evidence that the 72 Shapiro negatives were picked up by Newsweek's courier, received in good condition by Newsweek, and never returned to Miller. This is enough to create a presumption of negligence and place the burden on Newsweek to come forward with some evidence of the reasonable care it employed in order to rebut the presumption. . . . </w:t>
      </w:r>
    </w:p>
    <w:p w:rsidR="00032A5B" w:rsidRPr="00260B50" w:rsidRDefault="00032A5B" w:rsidP="00032A5B">
      <w:pPr>
        <w:rPr>
          <w:color w:val="000000"/>
        </w:rPr>
      </w:pPr>
      <w:r w:rsidRPr="00260B50">
        <w:rPr>
          <w:color w:val="000000"/>
        </w:rPr>
        <w:br/>
        <w:t xml:space="preserve">In the instant case, Newsweek has failed to present any evidence to rebut the presumption of negligence. . . . [T]he absence of any evidence rebutting the presumption of negligence would require the jury to honor the presumption and find for Miller on this issue. . . </w:t>
      </w:r>
      <w:r w:rsidRPr="00260B50">
        <w:rPr>
          <w:color w:val="000000"/>
        </w:rPr>
        <w:br/>
      </w:r>
    </w:p>
    <w:p w:rsidR="00032A5B" w:rsidRDefault="00032A5B" w:rsidP="00032A5B">
      <w:pPr>
        <w:rPr>
          <w:color w:val="000000"/>
        </w:rPr>
      </w:pPr>
      <w:r w:rsidRPr="00260B50">
        <w:rPr>
          <w:color w:val="000000"/>
        </w:rPr>
        <w:t>Based on the above, the Court will grant Miller's motion for summary judgment with regard to the liability issue of Count Two of his complaint and deny Newsweek's summary judgment motion on that count.</w:t>
      </w:r>
      <w:r w:rsidRPr="00260B50">
        <w:rPr>
          <w:color w:val="000000"/>
        </w:rPr>
        <w:br/>
      </w:r>
      <w:r w:rsidRPr="00260B50">
        <w:rPr>
          <w:color w:val="000000"/>
        </w:rPr>
        <w:br/>
      </w:r>
      <w:r w:rsidRPr="00260B50">
        <w:rPr>
          <w:bCs/>
          <w:color w:val="000000"/>
        </w:rPr>
        <w:t>D. Damages</w:t>
      </w:r>
      <w:r w:rsidRPr="00260B50">
        <w:rPr>
          <w:color w:val="000000"/>
        </w:rPr>
        <w:br/>
      </w:r>
      <w:r w:rsidRPr="00260B50">
        <w:rPr>
          <w:color w:val="000000"/>
        </w:rPr>
        <w:br/>
        <w:t xml:space="preserve">Having determined that Newsweek is liable for the loss of the Shapiro negatives, the court must consider whether a proper damage figure can be determined at this stage of the litigation. Miller and his expert have submitted affidavits valuing each negative at $1,500. Newsweek's expert suggests that this figure is excessive since there is currently little or no demand  the photojournalism industry for these negatives.  The Court is thus faced with a clear dispute of fact with regard to the value of the Shapiro negatives. </w:t>
      </w:r>
      <w:r>
        <w:rPr>
          <w:color w:val="000000"/>
        </w:rPr>
        <w:t xml:space="preserve"> </w:t>
      </w:r>
      <w:r w:rsidRPr="00260B50">
        <w:rPr>
          <w:color w:val="000000"/>
        </w:rPr>
        <w:t>Since this dispute of fact is both genuine and material . . ., the Court will deny both parties' motions for summary judgment on the damage issue of Count Two.</w:t>
      </w:r>
      <w:r w:rsidRPr="00260B50">
        <w:rPr>
          <w:color w:val="000000"/>
        </w:rPr>
        <w:br/>
        <w:t> </w:t>
      </w:r>
      <w:r w:rsidRPr="00260B50">
        <w:rPr>
          <w:color w:val="000000"/>
        </w:rPr>
        <w:br/>
      </w:r>
    </w:p>
    <w:p w:rsidR="00032A5B" w:rsidRPr="00260B50" w:rsidRDefault="00032A5B" w:rsidP="00032A5B">
      <w:pPr>
        <w:rPr>
          <w:color w:val="000000"/>
        </w:rPr>
      </w:pPr>
      <w:r w:rsidRPr="00260B50">
        <w:rPr>
          <w:bCs/>
          <w:color w:val="000000"/>
        </w:rPr>
        <w:t>IV. CONCLUSION</w:t>
      </w:r>
      <w:r w:rsidRPr="00260B50">
        <w:rPr>
          <w:color w:val="000000"/>
        </w:rPr>
        <w:br/>
      </w:r>
      <w:r w:rsidRPr="00260B50">
        <w:rPr>
          <w:color w:val="000000"/>
        </w:rPr>
        <w:br/>
        <w:t>For the reasons advanced above, the Court will take the following action: (1) grant Newsweek's motion for summary judgment as to Count One, deny Miller's motion as to that count, and dismiss Count One of the complaint; (2) grant Miller's motion for summary judgment on the liability issue of Count Two, and deny Newsweek's motion on that issue; and (3) deny both parties' motions for summary judgment as to the damage issue of Count Two.</w:t>
      </w:r>
    </w:p>
    <w:p w:rsidR="00032A5B" w:rsidRPr="001B7B11" w:rsidRDefault="00032A5B" w:rsidP="00032A5B">
      <w:pPr>
        <w:ind w:left="1200" w:right="1200"/>
        <w:jc w:val="center"/>
        <w:rPr>
          <w:bCs/>
        </w:rPr>
      </w:pPr>
      <w:r w:rsidRPr="00260B50">
        <w:rPr>
          <w:color w:val="000000"/>
        </w:rPr>
        <w:br w:type="page"/>
      </w:r>
      <w:r w:rsidRPr="001B7B11">
        <w:rPr>
          <w:bCs/>
        </w:rPr>
        <w:lastRenderedPageBreak/>
        <w:t>T. W. Oil, Inc., Formerly Known as Joc Oil USA, Inc., Respondent, v. Consolidated Edison Company of New York, Inc., Appellant</w:t>
      </w:r>
    </w:p>
    <w:p w:rsidR="00032A5B" w:rsidRPr="001B7B11" w:rsidRDefault="00032A5B" w:rsidP="00032A5B">
      <w:pPr>
        <w:ind w:left="1200" w:right="1200"/>
        <w:jc w:val="center"/>
        <w:rPr>
          <w:bCs/>
        </w:rPr>
      </w:pPr>
    </w:p>
    <w:p w:rsidR="00032A5B" w:rsidRPr="001B7B11" w:rsidRDefault="00032A5B" w:rsidP="00032A5B">
      <w:pPr>
        <w:ind w:left="1200" w:right="1200"/>
        <w:jc w:val="center"/>
        <w:rPr>
          <w:bCs/>
        </w:rPr>
      </w:pPr>
      <w:r w:rsidRPr="001B7B11">
        <w:rPr>
          <w:bCs/>
        </w:rPr>
        <w:t xml:space="preserve">Court of Appeals of </w:t>
      </w:r>
      <w:smartTag w:uri="urn:schemas-microsoft-com:office:smarttags" w:element="State">
        <w:smartTag w:uri="urn:schemas-microsoft-com:office:smarttags" w:element="place">
          <w:r w:rsidRPr="001B7B11">
            <w:rPr>
              <w:bCs/>
            </w:rPr>
            <w:t>New York</w:t>
          </w:r>
        </w:smartTag>
      </w:smartTag>
    </w:p>
    <w:p w:rsidR="00032A5B" w:rsidRPr="001B7B11" w:rsidRDefault="00032A5B" w:rsidP="00032A5B">
      <w:pPr>
        <w:rPr>
          <w:bCs/>
        </w:rPr>
      </w:pPr>
    </w:p>
    <w:p w:rsidR="00032A5B" w:rsidRPr="001B7B11" w:rsidRDefault="00032A5B" w:rsidP="00032A5B">
      <w:pPr>
        <w:ind w:left="1200" w:right="1200"/>
        <w:jc w:val="center"/>
        <w:rPr>
          <w:bCs/>
        </w:rPr>
      </w:pPr>
      <w:r w:rsidRPr="001B7B11">
        <w:rPr>
          <w:bCs/>
        </w:rPr>
        <w:t>57 N.Y.2d 574</w:t>
      </w:r>
    </w:p>
    <w:p w:rsidR="00032A5B" w:rsidRPr="001B7B11" w:rsidRDefault="00032A5B" w:rsidP="00032A5B">
      <w:pPr>
        <w:ind w:left="1200" w:right="1200"/>
        <w:jc w:val="center"/>
        <w:rPr>
          <w:bCs/>
        </w:rPr>
      </w:pPr>
      <w:smartTag w:uri="urn:schemas-microsoft-com:office:smarttags" w:element="date">
        <w:smartTagPr>
          <w:attr w:name="Year" w:val="1982"/>
          <w:attr w:name="Day" w:val="15"/>
          <w:attr w:name="Month" w:val="12"/>
          <w:attr w:name="ls" w:val="trans"/>
        </w:smartTagPr>
        <w:r w:rsidRPr="001B7B11">
          <w:rPr>
            <w:bCs/>
          </w:rPr>
          <w:t>December 15, 1982</w:t>
        </w:r>
      </w:smartTag>
      <w:r w:rsidRPr="001B7B11">
        <w:rPr>
          <w:bCs/>
        </w:rPr>
        <w:t xml:space="preserve">, Decided </w:t>
      </w:r>
    </w:p>
    <w:p w:rsidR="00032A5B" w:rsidRPr="001B7B11" w:rsidRDefault="00032A5B" w:rsidP="00032A5B">
      <w:pPr>
        <w:rPr>
          <w:bCs/>
        </w:rPr>
      </w:pPr>
    </w:p>
    <w:p w:rsidR="00032A5B" w:rsidRPr="001B7B11" w:rsidRDefault="00032A5B" w:rsidP="00032A5B">
      <w:pPr>
        <w:rPr>
          <w:b/>
        </w:rPr>
      </w:pPr>
    </w:p>
    <w:p w:rsidR="00032A5B" w:rsidRPr="001B7B11" w:rsidRDefault="00032A5B" w:rsidP="00032A5B">
      <w:r w:rsidRPr="001B7B11">
        <w:rPr>
          <w:bCs/>
        </w:rPr>
        <w:t xml:space="preserve">JUDGES:  </w:t>
      </w:r>
      <w:r w:rsidRPr="001B7B11">
        <w:t xml:space="preserve">Fuchsberg, J.  Chief Judge Cooke and Judges Jasen, Gabrielli, Jones, Wachtler and Meyer concur.  </w:t>
      </w:r>
    </w:p>
    <w:p w:rsidR="00032A5B" w:rsidRPr="001B7B11" w:rsidRDefault="00032A5B" w:rsidP="00032A5B"/>
    <w:p w:rsidR="00032A5B" w:rsidRPr="001B7B11" w:rsidRDefault="00032A5B" w:rsidP="00032A5B">
      <w:r w:rsidRPr="001B7B11">
        <w:rPr>
          <w:bCs/>
        </w:rPr>
        <w:t xml:space="preserve">OPINION BY:  </w:t>
      </w:r>
      <w:r w:rsidRPr="001B7B11">
        <w:t>F</w:t>
      </w:r>
      <w:r>
        <w:t>uchsberg</w:t>
      </w:r>
      <w:r w:rsidRPr="001B7B11">
        <w:t xml:space="preserve"> </w:t>
      </w:r>
    </w:p>
    <w:p w:rsidR="00032A5B" w:rsidRPr="001B7B11" w:rsidRDefault="00032A5B" w:rsidP="00032A5B"/>
    <w:p w:rsidR="00032A5B" w:rsidRDefault="00032A5B" w:rsidP="00032A5B">
      <w:pPr>
        <w:spacing w:before="120"/>
      </w:pPr>
      <w:r>
        <w:t>In the first case to wend its way through our appellate courts on this question, we are asked, in the main, to decide whether a seller who, acting in good faith and without knowledge of any defect, tenders nonconforming goods to a buyer who properly rejects them, may avail itself of the cure provision of subdivision (2) of section 2-508 of the Uniform Commercial Code.  We hold that,  if seasonable notice be given, such a seller may offer to cure the defect within a reasonable period beyond the time when the contract was to be performed so long as it has acted in good faith and with a reasonable expectation that the original goods would be acceptable to the buyer.</w:t>
      </w:r>
    </w:p>
    <w:p w:rsidR="00032A5B" w:rsidRDefault="00032A5B" w:rsidP="00032A5B">
      <w:pPr>
        <w:spacing w:before="120"/>
      </w:pPr>
      <w:r>
        <w:t xml:space="preserve">The factual background against which we decide this appeal is based on either undisputed proof or express findings at Trial Term.  In January, 1974, midst the fuel shortage produced by the oil embargo, the plaintiff (then known as Joc Oil USA, Inc.) purchased a cargo of fuel oil whose sulfur content was represented to it as no greater than 1%.  While the oil was still at sea en route to the </w:t>
      </w:r>
      <w:smartTag w:uri="urn:schemas-microsoft-com:office:smarttags" w:element="country-region">
        <w:smartTag w:uri="urn:schemas-microsoft-com:office:smarttags" w:element="place">
          <w:r>
            <w:t>United States</w:t>
          </w:r>
        </w:smartTag>
      </w:smartTag>
      <w:r>
        <w:t xml:space="preserve"> in the tanker </w:t>
      </w:r>
      <w:r>
        <w:rPr>
          <w:i/>
          <w:iCs/>
        </w:rPr>
        <w:t>M T Khamsin</w:t>
      </w:r>
      <w:r>
        <w:t xml:space="preserve">, plaintiff received a certificate from the foreign refinery at which it had been processed informing it that the sulfur content in fact was .52%.  Thereafter, on January 24, the plaintiff entered into a written contract with the defendant (Con Ed) for the sale of this oil. The agreement was for delivery to take place between January 24 and January 30, payment being subject to a named independent testing agency's confirmation of quality and quantity.  The contract, following a trade custom to round off specifications of sulfur content at, for instance, 1%, .5% or .3%, described that of the </w:t>
      </w:r>
      <w:r>
        <w:rPr>
          <w:i/>
          <w:iCs/>
        </w:rPr>
        <w:t>Khamsin</w:t>
      </w:r>
      <w:r>
        <w:t xml:space="preserve"> oil as .5%. In the course of the negotiations, the plaintiff learned that Con Ed was then authorized to buy and burn oil with a sulfur content of up to 1% and would even mix oils containing more and less to maintain that figure.</w:t>
      </w:r>
    </w:p>
    <w:p w:rsidR="00032A5B" w:rsidRDefault="00032A5B" w:rsidP="00032A5B">
      <w:pPr>
        <w:spacing w:before="120"/>
      </w:pPr>
      <w:r>
        <w:t xml:space="preserve">When the vessel arrived, on January 25, its cargo was discharged into Con Ed storage tanks in </w:t>
      </w:r>
      <w:smartTag w:uri="urn:schemas-microsoft-com:office:smarttags" w:element="place">
        <w:smartTag w:uri="urn:schemas-microsoft-com:office:smarttags" w:element="City">
          <w:r>
            <w:t>Bayonne</w:t>
          </w:r>
        </w:smartTag>
        <w:r>
          <w:t xml:space="preserve">, </w:t>
        </w:r>
        <w:smartTag w:uri="urn:schemas-microsoft-com:office:smarttags" w:element="State">
          <w:r>
            <w:t>New Jersey</w:t>
          </w:r>
        </w:smartTag>
      </w:smartTag>
      <w:r>
        <w:t>. In due course, the independent testing people reported a sulfur content of .92%.  On this basis, acting within a time frame whose reasonableness is not in question, on February 14 Con Ed rejected the shipment. Prompt negotiations to adjust the price failed; by February 20, plaintiff had offered a price reduction roughly responsive to the difference in sulfur reading, but Con Ed, though it could use the oil, rejected this proposition out of hand.  It was insistent on paying no more than the latest prevailing price, which, in the volatile market that then existed, was some 25% below the level which prevailed when it agreed to buy the oil.</w:t>
      </w:r>
    </w:p>
    <w:p w:rsidR="00032A5B" w:rsidRDefault="00032A5B" w:rsidP="00032A5B">
      <w:pPr>
        <w:spacing w:before="120"/>
      </w:pPr>
      <w:r>
        <w:t xml:space="preserve">The very next day, February 21, plaintiff offered to cure the defect with a substitute shipment of conforming oil scheduled to arrive on the </w:t>
      </w:r>
      <w:r>
        <w:rPr>
          <w:i/>
          <w:iCs/>
        </w:rPr>
        <w:t>S. S. Appollonian Victory</w:t>
      </w:r>
      <w:r>
        <w:t xml:space="preserve"> on February 28.  Nevertheless, on February 22, the very day after the cure was proffered, Con Ed, adamant in its intention to avail itself of the intervening drop in prices, summarily rejected this proposal too.  The two cargos were subsequently sold to third parties at the best price obtainable, first that of the </w:t>
      </w:r>
      <w:r>
        <w:rPr>
          <w:i/>
          <w:iCs/>
        </w:rPr>
        <w:t>Appollonian</w:t>
      </w:r>
      <w:r>
        <w:t xml:space="preserve"> and, sometime later, after extraction from the tanks had been accomplished, that of the </w:t>
      </w:r>
      <w:r>
        <w:rPr>
          <w:i/>
          <w:iCs/>
        </w:rPr>
        <w:t>Khamsin</w:t>
      </w:r>
      <w:r>
        <w:t xml:space="preserve">. </w:t>
      </w:r>
      <w:r>
        <w:rPr>
          <w:sz w:val="16"/>
          <w:szCs w:val="16"/>
          <w:vertAlign w:val="superscript"/>
        </w:rPr>
        <w:t>3</w:t>
      </w:r>
    </w:p>
    <w:p w:rsidR="00032A5B" w:rsidRDefault="00032A5B" w:rsidP="00032A5B">
      <w:pPr>
        <w:spacing w:before="120"/>
      </w:pPr>
      <w:r>
        <w:t xml:space="preserve">There ensued this action for breach of contract, </w:t>
      </w:r>
      <w:r>
        <w:rPr>
          <w:sz w:val="16"/>
          <w:szCs w:val="16"/>
          <w:vertAlign w:val="superscript"/>
        </w:rPr>
        <w:t>4</w:t>
      </w:r>
      <w:r>
        <w:t xml:space="preserve"> which, after a somewhat unconventional trial course, resulted in a nonjury decision for the plaintiff in the sum of $1,385,512.83, essentially the difference between the original contract price of $ 3,360,667.14 and the amount received by the plaintiff by way of resale of the </w:t>
      </w:r>
      <w:r>
        <w:rPr>
          <w:i/>
          <w:iCs/>
        </w:rPr>
        <w:t>Khamsin</w:t>
      </w:r>
      <w:r>
        <w:t xml:space="preserve"> oil at what the court found as a matter of fact was a negotiated  price which, under all the circumstances, </w:t>
      </w:r>
      <w:r>
        <w:rPr>
          <w:sz w:val="16"/>
          <w:szCs w:val="16"/>
          <w:vertAlign w:val="superscript"/>
        </w:rPr>
        <w:t>5</w:t>
      </w:r>
      <w:r>
        <w:t xml:space="preserve"> was reasonably procured in the open market.  To arrive at this result, the Trial Judge, while ruling against other liability theories advanced by the plaintiff, which, in particular, included one charging the defendant with having failed to act in good faith in the negotiations for a price adjustment on the </w:t>
      </w:r>
      <w:r>
        <w:rPr>
          <w:i/>
          <w:iCs/>
        </w:rPr>
        <w:t>Khamsin</w:t>
      </w:r>
      <w:r>
        <w:t xml:space="preserve"> oil (Uniform Commercial Code, § 1-203), decided as a matter of law that subdivision (2) of section 2-508 of the Uniform Commercial Code was available to the plaintiff even if it had no prior knowledge of the nonconformity.  Finding that in fact plaintiff had no such belief at the time of the delivery, that what turned out to be a .92% sulfur content was "within the range of contemplation of reasonable acceptability" to Con Ed, and that seasonable notice of an intention to cure was given, the court went on to hold that plaintiff's "reasonable and timely offer to cure" was improperly rejected.  The Appellate Division having unanimously affirmed the judgment entered on this decision, the case is now here by our leave.</w:t>
      </w:r>
    </w:p>
    <w:p w:rsidR="00032A5B" w:rsidRDefault="00032A5B" w:rsidP="00032A5B">
      <w:pPr>
        <w:spacing w:before="120"/>
      </w:pPr>
      <w:r>
        <w:lastRenderedPageBreak/>
        <w:t>In support of its quest for reversal, the defendant now asserts that the trial court erred (a) in ruling that the verdict on a special question submitted for determination by a jury was irrelevant to the decision of this case, (b) in failing to interpret subdivision (2) of section 2-508 of the Uniform Commercial Code to limit the availability of the right to cure after date of performance to cases in which the seller knowingly made a nonconforming tender and (c) in calculating damages on the basis of the resale of the nonconforming cargo rather than of the substitute offered to replace it.  For the reasons which follow, we find all three unacceptable.</w:t>
      </w:r>
    </w:p>
    <w:p w:rsidR="00032A5B" w:rsidRDefault="00032A5B" w:rsidP="00032A5B">
      <w:pPr>
        <w:spacing w:before="120"/>
      </w:pPr>
    </w:p>
    <w:p w:rsidR="00032A5B" w:rsidRDefault="00032A5B" w:rsidP="00032A5B">
      <w:pPr>
        <w:spacing w:before="120"/>
      </w:pPr>
      <w:r>
        <w:t>I</w:t>
      </w:r>
    </w:p>
    <w:p w:rsidR="00032A5B" w:rsidRDefault="00032A5B" w:rsidP="00032A5B">
      <w:pPr>
        <w:spacing w:before="120"/>
      </w:pPr>
      <w:r>
        <w:t xml:space="preserve">Initially, we deal with the threshold contention over the special verdict, which, though not complex, if erroneously decided below, would require reversal.  A product of an </w:t>
      </w:r>
      <w:r>
        <w:rPr>
          <w:i/>
          <w:iCs/>
        </w:rPr>
        <w:t>ad hoc</w:t>
      </w:r>
      <w:r>
        <w:t xml:space="preserve"> pretrial arrangement peculiar to this case, on analysis,  however, it presents but another example of a decision by opposing parties in a civil case to chart their own litigation course, to which, unless public policy is affronted, the law ordinarily raises no obstacle. Here, by stipulation, the  parties, who, of course, were free to waive a jury entirely, in effect relegated the special verdict, which otherwise could not be set aside merely because the court disagreed with it, to a position tantamount to that of an advisory verdict.</w:t>
      </w:r>
    </w:p>
    <w:p w:rsidR="00032A5B" w:rsidRDefault="00032A5B" w:rsidP="00032A5B">
      <w:pPr>
        <w:spacing w:before="120"/>
      </w:pPr>
      <w:r>
        <w:t>This came about when the parties, finding themselves in accord on most of the facts, mutually agreed that the jury only be called upon to answer four stipulated questions, and then, by the close of the testimony, went on to further limit the jury's scope by an understanding, as they read it into the record, "that in applying the law to the facts for an ultimate determination that the Court will consider the stipulated set of facts which have been presented in writing by counsel, the resolution of the specific questions by the jury as submitted to the jury, and counsel further stipulate that, if any other necessary fact is required to enable the proper application of the law to the facts of this case and such fact is not covered by either the stipulation of facts of the parties or the finding of the jury, and if further there is testimony in the record from which a finding could be made or in testimony or evidence of any kind from which a finding of such necessary fact can be made, the parties do hereby authorize the Court nonjury to make such determination as a prerequisite to the application of the law."</w:t>
      </w:r>
    </w:p>
    <w:p w:rsidR="00032A5B" w:rsidRDefault="00032A5B" w:rsidP="00032A5B">
      <w:pPr>
        <w:spacing w:before="120"/>
      </w:pPr>
      <w:r>
        <w:t xml:space="preserve">That the court so understood its responsibility is clear from the language it employed in disregarding the verdict.  For the only one of the four questions of which the appellant complains, reads as follows: "Q.  Did Con Edison act reasonably in rejecting the substitute shipment which was offered by Joc Oil </w:t>
      </w:r>
      <w:smartTag w:uri="urn:schemas-microsoft-com:office:smarttags" w:element="country-region">
        <w:smartTag w:uri="urn:schemas-microsoft-com:office:smarttags" w:element="place">
          <w:r>
            <w:t>USA</w:t>
          </w:r>
        </w:smartTag>
      </w:smartTag>
      <w:r>
        <w:t xml:space="preserve"> on </w:t>
      </w:r>
      <w:smartTag w:uri="urn:schemas-microsoft-com:office:smarttags" w:element="date">
        <w:smartTagPr>
          <w:attr w:name="Year" w:val="1974"/>
          <w:attr w:name="Day" w:val="21"/>
          <w:attr w:name="Month" w:val="2"/>
          <w:attr w:name="ls" w:val="trans"/>
        </w:smartTagPr>
        <w:r>
          <w:t>February 21, 1974</w:t>
        </w:r>
      </w:smartTag>
      <w:r>
        <w:t xml:space="preserve">, for a scheduled </w:t>
      </w:r>
      <w:smartTag w:uri="urn:schemas-microsoft-com:office:smarttags" w:element="date">
        <w:smartTagPr>
          <w:attr w:name="Year" w:val="1974"/>
          <w:attr w:name="Day" w:val="28"/>
          <w:attr w:name="Month" w:val="2"/>
          <w:attr w:name="ls" w:val="trans"/>
        </w:smartTagPr>
        <w:r>
          <w:t>February 28, 1974</w:t>
        </w:r>
      </w:smartTag>
      <w:r>
        <w:t xml:space="preserve"> arrival?" "Jury— 'Yes'".  And the court's words, in ruling, were: "The parties formed this and the other submission to the jury pursuant to their understanding that the factual verdicts would be afforded </w:t>
      </w:r>
      <w:r>
        <w:rPr>
          <w:i/>
          <w:iCs/>
        </w:rPr>
        <w:t>any appropriate significance</w:t>
      </w:r>
      <w:r>
        <w:t xml:space="preserve"> when thereafter the court applied the applicable law.  It was clearly understood and agreed that their mutually framed narrow factual questions would be submitted to the jury without any reference to applicable provisions or requirements of the Uniform Commercial Code, and that the court would thereafter apply the law as mandated by the code to all of the facts of the case.  In accordance with this agreed procedure no instruction or information was given to the jury as to the rights or duties of the parties under the statute * * * The jury finding of reasonable rejection can have no meaning without the necessary absent statutory frame of reference."  The code reference in this statement, as made clear in the extensive writing in which the Trial Judge handed down his decision, was to subdivision (2) of section 2-508.  As explained in part II of this opinion, while a buyer's rejection of a nonconforming tender provides the occasion for a seller's invocation of the statute, the buyer's rejection is not conditioned by any requirement that it have been a reasonable or unreasonable one.  Rather, the word "reasonable" is employed only to qualify a </w:t>
      </w:r>
      <w:r>
        <w:rPr>
          <w:i/>
          <w:iCs/>
        </w:rPr>
        <w:t>seller's</w:t>
      </w:r>
      <w:r>
        <w:t xml:space="preserve"> conduct once the </w:t>
      </w:r>
      <w:r>
        <w:rPr>
          <w:i/>
          <w:iCs/>
        </w:rPr>
        <w:t>seller</w:t>
      </w:r>
      <w:r>
        <w:t xml:space="preserve"> invokes the statute.  A finding by the jury, therefore, that the </w:t>
      </w:r>
      <w:r>
        <w:rPr>
          <w:i/>
          <w:iCs/>
        </w:rPr>
        <w:t>buyer's</w:t>
      </w:r>
      <w:r>
        <w:t xml:space="preserve"> conduct was reasonable was irrelevant to the application of section 2-508.  Consequently, it was not error to ignore the jury's answer to the question.</w:t>
      </w:r>
    </w:p>
    <w:p w:rsidR="00032A5B" w:rsidRDefault="00032A5B" w:rsidP="00032A5B">
      <w:pPr>
        <w:spacing w:before="120"/>
      </w:pPr>
      <w:r>
        <w:t>As a final word on this issue, we also add that, to the extent that Con Ed now belabors the trial court for refusing to charge the provisions of subdivision (2) of section 2-508, suffice it to say that, since defense counsel did not join either in plaintiff's request that the statute be read to the jury or in the consequent exception to the court's refusal to do so, the matter was not  preserved for our review.</w:t>
      </w:r>
    </w:p>
    <w:p w:rsidR="00032A5B" w:rsidRDefault="00032A5B" w:rsidP="00032A5B">
      <w:pPr>
        <w:spacing w:before="120"/>
      </w:pPr>
      <w:r>
        <w:t>II</w:t>
      </w:r>
    </w:p>
    <w:p w:rsidR="00032A5B" w:rsidRDefault="00032A5B" w:rsidP="00032A5B">
      <w:pPr>
        <w:spacing w:before="120"/>
      </w:pPr>
      <w:r>
        <w:t>We turn then to the central issue on this appeal: Fairly interpreted, did subdivision (2) of section 2-508 of the Uniform Commercial Code require Con Ed to accept the substitute shipment plaintiff tendered?  In approaching this question, we, of course, must remember that a seller's right to cure a defective tender, as allowed by both subdivisions of section 2-508, was intended to act as a meaningful limitation on the absolutism of the old perfect tender rule, under which, no leeway being allowed for any imperfections, there was, as one court put it, just "no room * * * for the doctrine of substantial performance" of commercial obligations.</w:t>
      </w:r>
    </w:p>
    <w:p w:rsidR="00032A5B" w:rsidRDefault="00032A5B" w:rsidP="00032A5B">
      <w:pPr>
        <w:spacing w:before="120"/>
      </w:pPr>
      <w:r>
        <w:t xml:space="preserve">In contrast, to meet the realities of the more impersonal business world of our day, the code, to avoid sharp dealing, expressly provides for the liberal construction of its remedial provisions (§ 1-102) so that "good faith" and the "observance </w:t>
      </w:r>
      <w:r>
        <w:lastRenderedPageBreak/>
        <w:t>of reasonable commercial standards of fair dealing" be the rule rather than the exception in trade (see § 2-103, subd [1], par [b]), "good faith" being defined as "honesty in fact in the conduct or transaction concerned" (Uniform Commercial Code, § 1-201, subd [19]).  As to section 2-508 in particular, the code's Official Comment advises that its mission is to safeguard the seller "against surprise as a result of sudden technicality on the buyer's part" (Uniform Commercial Code, § 2-106, Comment 2).</w:t>
      </w:r>
    </w:p>
    <w:p w:rsidR="00032A5B" w:rsidRDefault="00032A5B" w:rsidP="00032A5B">
      <w:pPr>
        <w:spacing w:before="120"/>
      </w:pPr>
      <w:r>
        <w:t>Section 2-508 may be conveniently divided between provisions for cure offered when "the time for performance has not yet expired" (subd [1]), a precode concept in this State, and ones which, by newly introducing the possibility of a seller obtaining "a further reasonable time to substitute a conforming tender" (subd [2]), also permit cure beyond the date set for performance.  In its entirety the section reads as follows:</w:t>
      </w:r>
    </w:p>
    <w:p w:rsidR="00032A5B" w:rsidRDefault="00032A5B" w:rsidP="00032A5B">
      <w:pPr>
        <w:spacing w:before="120"/>
      </w:pPr>
      <w:r>
        <w:t>"(1) Where any tender or delivery by the seller is rejected because non-conforming and the time for performance has not yet expired, the seller may seasonably notify the buyer of his intention to cure and may then within the contract time make a conforming delivery.</w:t>
      </w:r>
    </w:p>
    <w:p w:rsidR="00032A5B" w:rsidRDefault="00032A5B" w:rsidP="00032A5B">
      <w:pPr>
        <w:spacing w:before="120"/>
      </w:pPr>
      <w:r>
        <w:t>"(2) Where the buyer rejects a non-conforming tender which the seller had reasonable grounds to believe would be acceptable with or without money allowance the seller may if he seasonably notifies the buyer have a further reasonable time to substitute a conforming tender."</w:t>
      </w:r>
    </w:p>
    <w:p w:rsidR="00032A5B" w:rsidRDefault="00032A5B" w:rsidP="00032A5B">
      <w:pPr>
        <w:spacing w:before="120"/>
      </w:pPr>
      <w:r>
        <w:t xml:space="preserve">Since we here confront circumstances in which the conforming tender came after the time of performance, we focus on subdivision (2).  On its face, taking its conditions in the order in which they appear, for the statute to apply (1) a buyer must have rejected a nonconforming tender, (2) the seller must have had reasonable grounds to believe this tender would be acceptable (with or without money allowance), and (3) the seller must have "seasonably" notified the buyer of the intention to substitute a conforming tender within a reasonable time. </w:t>
      </w:r>
      <w:r>
        <w:rPr>
          <w:sz w:val="16"/>
          <w:szCs w:val="16"/>
          <w:vertAlign w:val="superscript"/>
        </w:rPr>
        <w:t>7</w:t>
      </w:r>
    </w:p>
    <w:p w:rsidR="00032A5B" w:rsidRDefault="00032A5B" w:rsidP="00032A5B">
      <w:pPr>
        <w:spacing w:before="120"/>
      </w:pPr>
      <w:r>
        <w:t xml:space="preserve">In the present case, none of these presented a problem.  The first one was easily met for it is unquestioned that, at .92%, the sulfur content of the </w:t>
      </w:r>
      <w:r>
        <w:rPr>
          <w:i/>
          <w:iCs/>
        </w:rPr>
        <w:t>Khamsin</w:t>
      </w:r>
      <w:r>
        <w:t xml:space="preserve"> oil did not conform to the .5% specified in the contract and that it was rejected by Con Ed.  The second, the reasonableness of the seller's belief that the original tender would be acceptable, was supported not only by unimpeached proof that the contract's .5% and the refinery certificate's .52% were trade equivalents, but by testimony that, by the time the contract was made, the plaintiff knew Con Ed burned fuel with a content of up to 1%, so that, with appropriate price adjustment, the </w:t>
      </w:r>
      <w:r>
        <w:rPr>
          <w:i/>
          <w:iCs/>
        </w:rPr>
        <w:t>Khamsin</w:t>
      </w:r>
      <w:r>
        <w:t xml:space="preserve"> oil would have suited its needs even if, at delivery, it was, to the plaintiff's surprise, to test out at .92%.  Further, the matter seems to have been put beyond dispute by the defendant's readiness to take the oil at the reduced market price on February 20.  Surely, on such a record, the trial court cannot be faulted for having found as a fact that the second condition too had been established.</w:t>
      </w:r>
    </w:p>
    <w:p w:rsidR="00032A5B" w:rsidRDefault="00032A5B" w:rsidP="00032A5B">
      <w:pPr>
        <w:spacing w:before="120"/>
      </w:pPr>
      <w:r>
        <w:t xml:space="preserve">As to the third, the conforming state of the </w:t>
      </w:r>
      <w:r>
        <w:rPr>
          <w:i/>
          <w:iCs/>
        </w:rPr>
        <w:t>Appollonian</w:t>
      </w:r>
      <w:r>
        <w:t xml:space="preserve"> oil is undisputed, the offer to tender it took place on February 21, only a day after Con Ed finally had rejected the </w:t>
      </w:r>
      <w:r>
        <w:rPr>
          <w:i/>
          <w:iCs/>
        </w:rPr>
        <w:t>Khamsin</w:t>
      </w:r>
      <w:r>
        <w:t xml:space="preserve"> delivery and the </w:t>
      </w:r>
      <w:r>
        <w:rPr>
          <w:i/>
          <w:iCs/>
        </w:rPr>
        <w:t>Appollonian</w:t>
      </w:r>
      <w:r>
        <w:t xml:space="preserve"> substitute then already was en route to the United States, where it was expected in a week and did arrive on March 4, only four days later than expected.  Especially since Con Ed pleaded no prejudice (unless the drop in prices could be so regarded), it is almost impossible, given the flexibility of the Uniform Commercial Code definitions of "seasonable" and "reasonable" (n 7, </w:t>
      </w:r>
      <w:r>
        <w:rPr>
          <w:i/>
          <w:iCs/>
        </w:rPr>
        <w:t>supra</w:t>
      </w:r>
      <w:r>
        <w:t>), to quarrel with the finding that the remaining requirements of the statute also had been met.</w:t>
      </w:r>
    </w:p>
    <w:p w:rsidR="00032A5B" w:rsidRDefault="00032A5B" w:rsidP="00032A5B">
      <w:pPr>
        <w:spacing w:before="120"/>
      </w:pPr>
      <w:r>
        <w:t xml:space="preserve">Thus lacking the support of the statute's literal language, the defendant nonetheless would have us limit its application to cases in which a seller </w:t>
      </w:r>
      <w:r>
        <w:rPr>
          <w:i/>
          <w:iCs/>
        </w:rPr>
        <w:t>knowingly</w:t>
      </w:r>
      <w:r>
        <w:t xml:space="preserve"> makes a nonconforming tender which it has reason to believe the buyer will accept.  For this proposition, it relies almost entirely on a critique in Nordstrom, Law of Sales (§ 105), which rationalizes that, since a seller who believes its tender is conforming would have no reason to think in terms of a reduction in the price of the goods, to allow such a seller to cure after the time for performance had passed would make the statutory reference to a money allowance redundant. </w:t>
      </w:r>
      <w:r>
        <w:rPr>
          <w:sz w:val="16"/>
          <w:szCs w:val="16"/>
          <w:vertAlign w:val="superscript"/>
        </w:rPr>
        <w:t>8</w:t>
      </w:r>
      <w:r>
        <w:t xml:space="preserve"> Nordstrom, interestingly enough, finds it useful to buttress this position by the somewhat dire prediction, though backed by no empirical or other confirmation, that, unless the right to cure is confined to those whose nonconforming tenders are knowing ones, the incentive of sellers to timely deliver will be undermined.  To this it also adds the somewhat moralistic note that a seller who is mistaken as to the quality of its goods does not merit  additional time (Nordstrom, </w:t>
      </w:r>
      <w:r>
        <w:rPr>
          <w:i/>
          <w:iCs/>
        </w:rPr>
        <w:t>loc. cit</w:t>
      </w:r>
      <w:r>
        <w:t>.).  Curiously, recognizing that the few decisions extant on this subject have adopted a position opposed to the one for which it contends, Con Ed seeks to treat these as exceptions rather than exemplars of the rule.</w:t>
      </w:r>
    </w:p>
    <w:p w:rsidR="00032A5B" w:rsidRDefault="00032A5B" w:rsidP="00032A5B">
      <w:pPr>
        <w:spacing w:before="120"/>
      </w:pPr>
      <w:r>
        <w:t>That the principle for which these cases stand goes far beyond their particular facts cannot be gainsaid.  These holdings demonstrate that, in dealing with the application of subdivision (2) of section 2-508, courts have been concerned with the reasonableness of the seller's belief that the goods would be acceptable rather than with the seller's pretender knowledge or lack of knowledge of the defect.</w:t>
      </w:r>
    </w:p>
    <w:p w:rsidR="00032A5B" w:rsidRDefault="00032A5B" w:rsidP="00032A5B">
      <w:pPr>
        <w:spacing w:before="120"/>
      </w:pPr>
      <w:r>
        <w:t>It also is no surprise then that the afore-mentioned decisional history is a reflection of the mainstream of scholarly commentary on the subject.</w:t>
      </w:r>
    </w:p>
    <w:p w:rsidR="00032A5B" w:rsidRDefault="00032A5B" w:rsidP="00032A5B">
      <w:pPr>
        <w:spacing w:before="120"/>
      </w:pPr>
      <w:r>
        <w:lastRenderedPageBreak/>
        <w:t>White and Summers, for instance, put it well, and bluntly.  Stressing that the code intended cure to be "a remedy which should be carefully cultivated and developed by the courts" because it "offers the possibility of conforming the law to reasonable expectations and of thwarting the chiseler who seeks to escape from a bad bargain" (</w:t>
      </w:r>
      <w:r>
        <w:rPr>
          <w:i/>
          <w:iCs/>
        </w:rPr>
        <w:t>op.  cit</w:t>
      </w:r>
      <w:r>
        <w:t>., at pp 322-324), the authors conclude, as do we, that a seller should have recourse to the relief afforded by subdivision (2) of section 2-508 of the Uniform Commercial Code as long as it can establish that it had reasonable grounds, tested objectively, for its belief that the goods would be accepted (</w:t>
      </w:r>
      <w:r>
        <w:rPr>
          <w:i/>
          <w:iCs/>
        </w:rPr>
        <w:t>ibid</w:t>
      </w:r>
      <w:r>
        <w:t xml:space="preserve">., at p 321).  It goes without saying that the test of reasonableness,  in this context, must encompass the concepts of "good faith" and "commercial standards of fair dealing" which permeate the code (Uniform Commercial Code, § 1-201, subd [19]; §§ 1-203, 2-103, subd [1], par [b]). </w:t>
      </w:r>
      <w:r>
        <w:rPr>
          <w:sz w:val="16"/>
          <w:szCs w:val="16"/>
          <w:vertAlign w:val="superscript"/>
        </w:rPr>
        <w:t>10</w:t>
      </w:r>
    </w:p>
    <w:p w:rsidR="00032A5B" w:rsidRDefault="00032A5B" w:rsidP="00032A5B"/>
    <w:p w:rsidR="00032A5B" w:rsidRDefault="00032A5B" w:rsidP="00032A5B">
      <w:pPr>
        <w:spacing w:before="120"/>
      </w:pPr>
      <w:r>
        <w:t>III</w:t>
      </w:r>
    </w:p>
    <w:p w:rsidR="00032A5B" w:rsidRDefault="00032A5B" w:rsidP="00032A5B">
      <w:pPr>
        <w:spacing w:before="120"/>
      </w:pPr>
      <w:r>
        <w:t xml:space="preserve">As to the damages issue raised by the defendant, we affirm without reaching the merits.  At no stage of the proceedings before the trial court did the defendant object to the plaintiff's proposed method for their calculation, and this though the plaintiff gave ample notice of that proposal by means of a preliminary statement and pretrial memorandum filed with the court.  So complete was defendant's acquiescence in the theory thus advanced that the plaintiff was permitted to introduce its proof of the </w:t>
      </w:r>
      <w:r>
        <w:rPr>
          <w:i/>
          <w:iCs/>
        </w:rPr>
        <w:t>Khamsin</w:t>
      </w:r>
      <w:r>
        <w:t xml:space="preserve"> resale alone, and without opposition.  Furthermore, in consensually submitting the four jointly framed advisory questions that went to the jury, the language of one of them, which was damages-related, indicates that both parties were acting on the assumption that the </w:t>
      </w:r>
      <w:r>
        <w:rPr>
          <w:i/>
          <w:iCs/>
        </w:rPr>
        <w:t>Khamsin</w:t>
      </w:r>
      <w:r>
        <w:t xml:space="preserve"> oil was the one with which the court was to be concerned.  And, even after the decision at nisi prius revealed that the Judge had acted on such an assumption, so far as the record shows, no motion was ever made to correct it.</w:t>
      </w:r>
    </w:p>
    <w:p w:rsidR="00032A5B" w:rsidRDefault="00032A5B" w:rsidP="00032A5B">
      <w:pPr>
        <w:spacing w:before="120"/>
      </w:pPr>
      <w:r>
        <w:t>It has long been the law that agreement on a theory of damages at trial, even if only implied, must control on appeal.</w:t>
      </w:r>
    </w:p>
    <w:p w:rsidR="00032A5B" w:rsidRDefault="00032A5B" w:rsidP="00032A5B">
      <w:pPr>
        <w:spacing w:before="120"/>
      </w:pPr>
      <w:r>
        <w:t>For all these reasons, the order of the Appellate Division should be affirmed, with costs.</w:t>
      </w:r>
    </w:p>
    <w:p w:rsidR="00032A5B" w:rsidRDefault="00032A5B" w:rsidP="00032A5B">
      <w:pPr>
        <w:spacing w:before="120"/>
      </w:pPr>
      <w:r>
        <w:t>Order affirmed.</w:t>
      </w:r>
    </w:p>
    <w:p w:rsidR="00032A5B" w:rsidRDefault="00032A5B" w:rsidP="00032A5B"/>
    <w:p w:rsidR="00032A5B" w:rsidRDefault="00032A5B" w:rsidP="00032A5B">
      <w:r>
        <w:t>Footnotes</w:t>
      </w:r>
    </w:p>
    <w:p w:rsidR="00032A5B" w:rsidRDefault="00032A5B" w:rsidP="00032A5B">
      <w:pPr>
        <w:ind w:left="600"/>
        <w:rPr>
          <w:sz w:val="16"/>
          <w:szCs w:val="16"/>
        </w:rPr>
      </w:pPr>
    </w:p>
    <w:p w:rsidR="00032A5B" w:rsidRDefault="00032A5B" w:rsidP="00032A5B">
      <w:pPr>
        <w:ind w:left="600"/>
        <w:rPr>
          <w:sz w:val="16"/>
          <w:szCs w:val="16"/>
        </w:rPr>
      </w:pPr>
      <w:r>
        <w:rPr>
          <w:sz w:val="16"/>
          <w:szCs w:val="16"/>
        </w:rPr>
        <w:t xml:space="preserve">3 Most of the </w:t>
      </w:r>
      <w:r>
        <w:rPr>
          <w:i/>
          <w:iCs/>
          <w:sz w:val="16"/>
          <w:szCs w:val="16"/>
        </w:rPr>
        <w:t>Khamsin</w:t>
      </w:r>
      <w:r>
        <w:rPr>
          <w:sz w:val="16"/>
          <w:szCs w:val="16"/>
        </w:rPr>
        <w:t xml:space="preserve"> oil was drained from the tanks and sold at $ 10.75 per barrel. The balance was retained by Con Ed in its mixed form at $ 10.45 per barrel. The original price in January had been $ 17.875 per barrel. </w:t>
      </w:r>
    </w:p>
    <w:p w:rsidR="00032A5B" w:rsidRDefault="00032A5B" w:rsidP="00032A5B">
      <w:pPr>
        <w:ind w:left="600"/>
        <w:rPr>
          <w:sz w:val="16"/>
          <w:szCs w:val="16"/>
        </w:rPr>
      </w:pPr>
    </w:p>
    <w:p w:rsidR="00032A5B" w:rsidRDefault="00032A5B" w:rsidP="00032A5B">
      <w:pPr>
        <w:ind w:left="600"/>
        <w:rPr>
          <w:sz w:val="16"/>
          <w:szCs w:val="16"/>
        </w:rPr>
      </w:pPr>
      <w:r>
        <w:rPr>
          <w:sz w:val="16"/>
          <w:szCs w:val="16"/>
        </w:rPr>
        <w:t>7 Essentially a factual matter, "seasonable" is defined in subdivision (3) of section 1-204 of the Uniform Commercial Code as "at or within the time agreed or if no time is agreed at or within a reasonable time".  At least equally factual in character, a "reasonable time" is left to depend on the "nature, purpose and circumstances" of any action which is to be taken.</w:t>
      </w:r>
    </w:p>
    <w:p w:rsidR="00032A5B" w:rsidRDefault="00032A5B" w:rsidP="00032A5B">
      <w:pPr>
        <w:ind w:left="600"/>
        <w:rPr>
          <w:sz w:val="16"/>
          <w:szCs w:val="16"/>
        </w:rPr>
      </w:pPr>
    </w:p>
    <w:p w:rsidR="00032A5B" w:rsidRDefault="00032A5B" w:rsidP="00032A5B">
      <w:pPr>
        <w:ind w:left="600"/>
        <w:rPr>
          <w:sz w:val="16"/>
          <w:szCs w:val="16"/>
        </w:rPr>
      </w:pPr>
      <w:r>
        <w:rPr>
          <w:sz w:val="16"/>
          <w:szCs w:val="16"/>
        </w:rPr>
        <w:t>8 The premise for such an argument, which ignores the policy of the code to prevent buyers from using insubstantial remediable or price adjustable defects to free themselves from unprofitable bargains is that the words "with or without money allowance" apply only to sellers who believe their goods will be acceptable with such an allowance and not to sellers who believe their goods will be acceptable without such an allowance. But, since the words are part of a phrase which speaks of an otherwise unqualified belief that the goods will be acceptable, unless one strains for an opposite interpretation, we find insufficient reason to doubt that it intends to include both those who find a need to offer an allowance and those who do not.</w:t>
      </w:r>
    </w:p>
    <w:p w:rsidR="00032A5B" w:rsidRDefault="00032A5B" w:rsidP="00032A5B">
      <w:pPr>
        <w:ind w:left="600"/>
        <w:rPr>
          <w:sz w:val="16"/>
          <w:szCs w:val="16"/>
        </w:rPr>
      </w:pPr>
    </w:p>
    <w:p w:rsidR="00032A5B" w:rsidRDefault="00032A5B" w:rsidP="00032A5B">
      <w:pPr>
        <w:ind w:left="600"/>
        <w:rPr>
          <w:sz w:val="16"/>
          <w:szCs w:val="16"/>
        </w:rPr>
      </w:pPr>
      <w:r>
        <w:rPr>
          <w:sz w:val="16"/>
          <w:szCs w:val="16"/>
        </w:rPr>
        <w:t xml:space="preserve">9 The only </w:t>
      </w:r>
      <w:smartTag w:uri="urn:schemas-microsoft-com:office:smarttags" w:element="State">
        <w:smartTag w:uri="urn:schemas-microsoft-com:office:smarttags" w:element="place">
          <w:r>
            <w:rPr>
              <w:sz w:val="16"/>
              <w:szCs w:val="16"/>
            </w:rPr>
            <w:t>New York</w:t>
          </w:r>
        </w:smartTag>
      </w:smartTag>
      <w:r>
        <w:rPr>
          <w:sz w:val="16"/>
          <w:szCs w:val="16"/>
        </w:rPr>
        <w:t xml:space="preserve"> case to deal with this section involved a seller who knowingly tendered a "newer and improved version of the model that was actually ordered" on the contract delivery date.  The court held he had reasonable grounds to believe the buyer would accept the newer model ( </w:t>
      </w:r>
      <w:r>
        <w:rPr>
          <w:i/>
          <w:iCs/>
          <w:sz w:val="16"/>
          <w:szCs w:val="16"/>
        </w:rPr>
        <w:t>Bartus v Riccardi</w:t>
      </w:r>
      <w:r>
        <w:rPr>
          <w:sz w:val="16"/>
          <w:szCs w:val="16"/>
        </w:rPr>
        <w:t>, 55 Misc 2d 3 [</w:t>
      </w:r>
      <w:smartTag w:uri="urn:schemas-microsoft-com:office:smarttags" w:element="Street">
        <w:smartTag w:uri="urn:schemas-microsoft-com:office:smarttags" w:element="address">
          <w:r>
            <w:rPr>
              <w:sz w:val="16"/>
              <w:szCs w:val="16"/>
            </w:rPr>
            <w:t>Utica City Ct</w:t>
          </w:r>
        </w:smartTag>
      </w:smartTag>
      <w:r>
        <w:rPr>
          <w:sz w:val="16"/>
          <w:szCs w:val="16"/>
        </w:rPr>
        <w:t xml:space="preserve">, Hymes, J.]). </w:t>
      </w:r>
    </w:p>
    <w:p w:rsidR="00032A5B" w:rsidRDefault="00032A5B" w:rsidP="00032A5B">
      <w:pPr>
        <w:pStyle w:val="BodyText2"/>
      </w:pPr>
    </w:p>
    <w:p w:rsidR="00032A5B" w:rsidRPr="009D7634" w:rsidRDefault="00032A5B" w:rsidP="00032A5B">
      <w:pPr>
        <w:pStyle w:val="BodyText2"/>
        <w:rPr>
          <w:sz w:val="24"/>
          <w:szCs w:val="24"/>
        </w:rPr>
      </w:pPr>
      <w:r>
        <w:br w:type="page"/>
      </w:r>
      <w:r w:rsidRPr="009D7634">
        <w:rPr>
          <w:sz w:val="24"/>
          <w:szCs w:val="24"/>
        </w:rPr>
        <w:lastRenderedPageBreak/>
        <w:t>VII.</w:t>
      </w:r>
      <w:r w:rsidRPr="009D7634">
        <w:rPr>
          <w:sz w:val="24"/>
          <w:szCs w:val="24"/>
        </w:rPr>
        <w:tab/>
        <w:t>Creditor’s Rights</w:t>
      </w:r>
    </w:p>
    <w:p w:rsidR="00032A5B" w:rsidRDefault="00032A5B" w:rsidP="00032A5B">
      <w:pPr>
        <w:pStyle w:val="BodyText2"/>
      </w:pPr>
    </w:p>
    <w:p w:rsidR="00032A5B" w:rsidRDefault="00032A5B" w:rsidP="00032A5B">
      <w:pPr>
        <w:pStyle w:val="BodyText2"/>
      </w:pPr>
    </w:p>
    <w:p w:rsidR="00032A5B" w:rsidRDefault="00032A5B" w:rsidP="00032A5B">
      <w:pPr>
        <w:pStyle w:val="BodyText2"/>
      </w:pPr>
    </w:p>
    <w:p w:rsidR="00032A5B" w:rsidRDefault="00032A5B" w:rsidP="00032A5B">
      <w:pPr>
        <w:pStyle w:val="BodyText2"/>
      </w:pPr>
    </w:p>
    <w:p w:rsidR="00032A5B" w:rsidRDefault="00032A5B" w:rsidP="00032A5B">
      <w:pPr>
        <w:pStyle w:val="BodyText2"/>
      </w:pPr>
    </w:p>
    <w:p w:rsidR="00032A5B" w:rsidRDefault="00032A5B" w:rsidP="00032A5B">
      <w:pPr>
        <w:pStyle w:val="BodyText2"/>
      </w:pPr>
    </w:p>
    <w:p w:rsidR="00032A5B" w:rsidRDefault="00032A5B" w:rsidP="00032A5B">
      <w:pPr>
        <w:jc w:val="center"/>
      </w:pPr>
      <w:r>
        <w:br w:type="page"/>
      </w:r>
      <w:r>
        <w:lastRenderedPageBreak/>
        <w:t>SECURITY NATIONAL BANK AND TRUST COMPANY OF NORMAN; Termplan Finance of Oklahoma City, Inc.; Joe Hernandez, an Individual; and Hacienda Hernandez, Inc., Appellants, v. Robert B. REIGINGER; James L. Cullins; Robert D. Reisinger; and J. P. Davis d/b/a Skyland Developers; Skyland Self Storage Warehouse; and Norman Self Storage Warehouse, Appellees</w:t>
      </w:r>
    </w:p>
    <w:p w:rsidR="00032A5B" w:rsidRDefault="00032A5B" w:rsidP="00032A5B">
      <w:pPr>
        <w:jc w:val="center"/>
      </w:pPr>
    </w:p>
    <w:p w:rsidR="00032A5B" w:rsidRDefault="00032A5B" w:rsidP="00032A5B">
      <w:pPr>
        <w:jc w:val="center"/>
      </w:pPr>
      <w:r>
        <w:t xml:space="preserve">Supreme Court of </w:t>
      </w:r>
      <w:smartTag w:uri="urn:schemas-microsoft-com:office:smarttags" w:element="State">
        <w:smartTag w:uri="urn:schemas-microsoft-com:office:smarttags" w:element="place">
          <w:r>
            <w:t>Oklahoma</w:t>
          </w:r>
        </w:smartTag>
      </w:smartTag>
    </w:p>
    <w:p w:rsidR="00032A5B" w:rsidRDefault="00032A5B" w:rsidP="00032A5B">
      <w:pPr>
        <w:jc w:val="center"/>
      </w:pPr>
    </w:p>
    <w:p w:rsidR="00032A5B" w:rsidRDefault="00032A5B" w:rsidP="00032A5B">
      <w:pPr>
        <w:jc w:val="center"/>
      </w:pPr>
      <w:r>
        <w:t>1980 OK 70</w:t>
      </w:r>
    </w:p>
    <w:p w:rsidR="00032A5B" w:rsidRDefault="00032A5B" w:rsidP="00032A5B">
      <w:pPr>
        <w:jc w:val="center"/>
      </w:pPr>
    </w:p>
    <w:p w:rsidR="00032A5B" w:rsidRDefault="00032A5B" w:rsidP="00032A5B">
      <w:pPr>
        <w:jc w:val="center"/>
      </w:pPr>
      <w:smartTag w:uri="urn:schemas-microsoft-com:office:smarttags" w:element="date">
        <w:smartTagPr>
          <w:attr w:name="Month" w:val="4"/>
          <w:attr w:name="Day" w:val="29"/>
          <w:attr w:name="Year" w:val="1980"/>
        </w:smartTagPr>
        <w:r>
          <w:t>April 29, 1980</w:t>
        </w:r>
      </w:smartTag>
    </w:p>
    <w:p w:rsidR="00032A5B" w:rsidRDefault="00032A5B" w:rsidP="00032A5B"/>
    <w:p w:rsidR="00032A5B" w:rsidRDefault="00032A5B" w:rsidP="00032A5B"/>
    <w:p w:rsidR="00032A5B" w:rsidRDefault="00032A5B" w:rsidP="00032A5B">
      <w:pPr>
        <w:jc w:val="both"/>
      </w:pPr>
      <w:r>
        <w:t xml:space="preserve">JUDGES: Hodges, J., wrote the opinion. All the Justices concur. </w:t>
      </w:r>
    </w:p>
    <w:p w:rsidR="00032A5B" w:rsidRDefault="00032A5B" w:rsidP="00032A5B">
      <w:pPr>
        <w:jc w:val="both"/>
      </w:pPr>
    </w:p>
    <w:p w:rsidR="00032A5B" w:rsidRDefault="00032A5B" w:rsidP="00032A5B">
      <w:pPr>
        <w:jc w:val="both"/>
      </w:pPr>
      <w:r>
        <w:t>OPINION:   This is an appeal from the entry of summary judgment by the trial court in a conversion action brought by Security National Bank &amp; Trust Co. of Norman and Termplan Finance of Oklahoma City, Inc. [secured creditors], Joe Hernandez, and Hacienda Hernandez, Inc. [lessee], against Robert B. Reisinger; James L. Cullins; Robert D. Reisinger, and J. P. Davis d/b/a Skyland Developers; Skyland Self Storage Warehouse; Norman Self Storage Warehouse [lessors].</w:t>
      </w:r>
    </w:p>
    <w:p w:rsidR="00032A5B" w:rsidRDefault="00032A5B" w:rsidP="00032A5B">
      <w:pPr>
        <w:jc w:val="both"/>
      </w:pPr>
    </w:p>
    <w:p w:rsidR="00032A5B" w:rsidRDefault="00032A5B" w:rsidP="00032A5B">
      <w:pPr>
        <w:jc w:val="both"/>
      </w:pPr>
      <w:r>
        <w:t xml:space="preserve">On </w:t>
      </w:r>
      <w:smartTag w:uri="urn:schemas-microsoft-com:office:smarttags" w:element="date">
        <w:smartTagPr>
          <w:attr w:name="ls" w:val="trans"/>
          <w:attr w:name="Month" w:val="12"/>
          <w:attr w:name="Day" w:val="22"/>
          <w:attr w:name="Year" w:val="1976"/>
        </w:smartTagPr>
        <w:r>
          <w:t>December 22, 1976</w:t>
        </w:r>
      </w:smartTag>
      <w:r>
        <w:t xml:space="preserve">, Skyland Developers, as lessor, entered into a lease agreement to rent a storage place at the Norman Self Storage Warehouse. The lease was signed Hacienda Hernandez of Norman, Inc., as lessee, "by Joe Hernandez." The rent was payable on a monthly basis. After the lessee failed to pay the rent for the months of February and March, 1977, a certified letter was mailed to the address listed for Hacienda Hernandez of Norman, Inc., on the lease, requesting the overdue rent. No response or payment was received. A second notice was then sent on </w:t>
      </w:r>
      <w:smartTag w:uri="urn:schemas-microsoft-com:office:smarttags" w:element="date">
        <w:smartTagPr>
          <w:attr w:name="Month" w:val="3"/>
          <w:attr w:name="Day" w:val="29"/>
          <w:attr w:name="Year" w:val="1977"/>
        </w:smartTagPr>
        <w:r>
          <w:t>March 29, 1977</w:t>
        </w:r>
      </w:smartTag>
      <w:r>
        <w:t xml:space="preserve">, informing Hacienda Hernandez of Norman that if the rent was not paid by </w:t>
      </w:r>
      <w:smartTag w:uri="urn:schemas-microsoft-com:office:smarttags" w:element="date">
        <w:smartTagPr>
          <w:attr w:name="Month" w:val="4"/>
          <w:attr w:name="Day" w:val="4"/>
          <w:attr w:name="Year" w:val="1977"/>
        </w:smartTagPr>
        <w:r>
          <w:t>April 4, 1977</w:t>
        </w:r>
      </w:smartTag>
      <w:r>
        <w:t xml:space="preserve">, the articles inside the locker would be sold for the overdue rent. Again, no payment was received. The property was sold on </w:t>
      </w:r>
      <w:smartTag w:uri="urn:schemas-microsoft-com:office:smarttags" w:element="date">
        <w:smartTagPr>
          <w:attr w:name="Month" w:val="4"/>
          <w:attr w:name="Day" w:val="14"/>
          <w:attr w:name="Year" w:val="1977"/>
        </w:smartTagPr>
        <w:r>
          <w:t>April 14, 1977</w:t>
        </w:r>
      </w:smartTag>
      <w:r>
        <w:t xml:space="preserve">, for $79.50 to a person who routinely dropped by to see if any property was for sale. The appellants filed suit against the lessors asserting that the sale constituted a conversion of their property, and sought compensatory and punitive damages. The appellees' motion for summary judgment was sustained on </w:t>
      </w:r>
      <w:smartTag w:uri="urn:schemas-microsoft-com:office:smarttags" w:element="date">
        <w:smartTagPr>
          <w:attr w:name="Month" w:val="9"/>
          <w:attr w:name="Day" w:val="6"/>
          <w:attr w:name="Year" w:val="1978"/>
        </w:smartTagPr>
        <w:r>
          <w:t>September 6, 1978</w:t>
        </w:r>
      </w:smartTag>
      <w:r>
        <w:t xml:space="preserve">, and the appellants appealed. </w:t>
      </w:r>
    </w:p>
    <w:p w:rsidR="00032A5B" w:rsidRDefault="00032A5B" w:rsidP="00032A5B">
      <w:pPr>
        <w:jc w:val="both"/>
      </w:pPr>
    </w:p>
    <w:p w:rsidR="00032A5B" w:rsidRDefault="00032A5B" w:rsidP="00032A5B">
      <w:pPr>
        <w:jc w:val="both"/>
      </w:pPr>
      <w:r>
        <w:t>The determinative questions on appeal are whether a sale of goods pursuant to a statutory lien under 42 O.S. 1971 § 91 has priority over a perfected security interest, and if the notice of the sale given to the appellants was sufficient.</w:t>
      </w:r>
    </w:p>
    <w:p w:rsidR="00032A5B" w:rsidRDefault="00032A5B" w:rsidP="00032A5B">
      <w:pPr>
        <w:jc w:val="both"/>
      </w:pPr>
      <w:r>
        <w:t xml:space="preserve"> </w:t>
      </w:r>
    </w:p>
    <w:p w:rsidR="00032A5B" w:rsidRDefault="00032A5B" w:rsidP="00032A5B">
      <w:pPr>
        <w:jc w:val="both"/>
      </w:pPr>
    </w:p>
    <w:p w:rsidR="00032A5B" w:rsidRDefault="00032A5B" w:rsidP="00032A5B">
      <w:pPr>
        <w:jc w:val="both"/>
      </w:pPr>
    </w:p>
    <w:p w:rsidR="00032A5B" w:rsidRDefault="00032A5B" w:rsidP="00032A5B">
      <w:pPr>
        <w:jc w:val="both"/>
      </w:pPr>
      <w:r>
        <w:t xml:space="preserve">I </w:t>
      </w:r>
    </w:p>
    <w:p w:rsidR="00032A5B" w:rsidRDefault="00032A5B" w:rsidP="00032A5B">
      <w:pPr>
        <w:jc w:val="both"/>
      </w:pPr>
    </w:p>
    <w:p w:rsidR="00032A5B" w:rsidRDefault="00032A5B" w:rsidP="00032A5B">
      <w:pPr>
        <w:jc w:val="both"/>
      </w:pPr>
      <w:r>
        <w:t xml:space="preserve">Two corporations, Hacienda Hernandez, Inc., and Hacienda Hernandez of Norman, Inc., in addition to Joe Hernandez, an individual, are inextricably intertwined in this matter. The Corporations operate several Mexican food restaurants, and Joe Hernandez is president of both corporations. The rental agreement stated that Hacienda Hernandez of Norman, Inc was lessee, and this corporation paid the rent for the storage locker. However, Hacienda Hernandez of Norman is not a party to this action. Hacienda Hernandez, Inc. and Joe Hernandez are parties. </w:t>
      </w:r>
    </w:p>
    <w:p w:rsidR="00032A5B" w:rsidRDefault="00032A5B" w:rsidP="00032A5B">
      <w:pPr>
        <w:jc w:val="both"/>
      </w:pPr>
    </w:p>
    <w:p w:rsidR="00032A5B" w:rsidRDefault="00032A5B" w:rsidP="00032A5B">
      <w:pPr>
        <w:jc w:val="both"/>
      </w:pPr>
      <w:r>
        <w:t xml:space="preserve">Security National Bank and Trust Company of Norman and Termplan Finance Company had filed financing statements covering some of the items in </w:t>
      </w:r>
      <w:smartTag w:uri="urn:schemas-microsoft-com:office:smarttags" w:element="place">
        <w:smartTag w:uri="urn:schemas-microsoft-com:office:smarttags" w:element="PlaceName">
          <w:r>
            <w:t>Oklahoma</w:t>
          </w:r>
        </w:smartTag>
        <w:r>
          <w:t xml:space="preserve"> </w:t>
        </w:r>
        <w:smartTag w:uri="urn:schemas-microsoft-com:office:smarttags" w:element="PlaceType">
          <w:r>
            <w:t>County</w:t>
          </w:r>
        </w:smartTag>
      </w:smartTag>
      <w:r>
        <w:t xml:space="preserve"> and, therefore, claimed security interests in the goods. The debtors are listed on the financing statements as Hacienda Hernandez, Inc. and Joe Hernandez. Hacienda Hernandez of Norman, Inc. is designated on neither of the financing statements as a debtor. When Joe Hernandez, acting for Hacienda Hernandez of Norman, stored the items in the rented space, a statutory lien was imposed on these goods in favor of the lessors by operation of law. The contested issue, is the determination of lien priority </w:t>
      </w:r>
      <w:r>
        <w:sym w:font="Symbol" w:char="F0BE"/>
      </w:r>
      <w:r>
        <w:t xml:space="preserve"> the perfected secured interest vs. the statutory lien. </w:t>
      </w:r>
    </w:p>
    <w:p w:rsidR="00032A5B" w:rsidRDefault="00032A5B" w:rsidP="00032A5B">
      <w:pPr>
        <w:jc w:val="both"/>
      </w:pPr>
    </w:p>
    <w:p w:rsidR="00032A5B" w:rsidRDefault="00032A5B" w:rsidP="00032A5B">
      <w:pPr>
        <w:jc w:val="both"/>
      </w:pPr>
      <w:r>
        <w:t>Pursuant to 12A O.S. 1971 § 9-310, a person who furnishes goods or services to another may have a lien upon the goods in his possession.  [“When a person in the ordinary course of his business furnishes services or materials with respect to goods subject to a security interest, a lien upon goods in the possession of such person given by statute or rule of law . . takes priority over a perfected security interest unless the lien is statutory and the statute expressly provides otherwise.”]</w:t>
      </w:r>
    </w:p>
    <w:p w:rsidR="00032A5B" w:rsidRDefault="00032A5B" w:rsidP="00032A5B">
      <w:pPr>
        <w:jc w:val="both"/>
      </w:pPr>
    </w:p>
    <w:p w:rsidR="00032A5B" w:rsidRDefault="00032A5B" w:rsidP="00032A5B">
      <w:pPr>
        <w:jc w:val="both"/>
      </w:pPr>
      <w:r>
        <w:t xml:space="preserve">If these goods are subject to a security interest, his lien takes priority over the security interest unless the lien is statutory and the statute expressly provides otherwise. A statutory lien has priority over a security interest unless the statute expressly provides that the statutory lien does not have priority. Title 42 O.S. 1971 § 91 does not mention whether liens created </w:t>
      </w:r>
      <w:r>
        <w:lastRenderedPageBreak/>
        <w:t xml:space="preserve">thereunder have priority over security interests. However, it has been held that possessory liens created pursuant to this section have priority over secured parties. This rule has been followed in </w:t>
      </w:r>
      <w:smartTag w:uri="urn:schemas-microsoft-com:office:smarttags" w:element="State">
        <w:smartTag w:uri="urn:schemas-microsoft-com:office:smarttags" w:element="place">
          <w:r>
            <w:t>Oklahoma</w:t>
          </w:r>
        </w:smartTag>
      </w:smartTag>
      <w:r>
        <w:t>, and in other jurisdictions.</w:t>
      </w:r>
    </w:p>
    <w:p w:rsidR="00032A5B" w:rsidRDefault="00032A5B" w:rsidP="00032A5B">
      <w:pPr>
        <w:jc w:val="both"/>
      </w:pPr>
    </w:p>
    <w:p w:rsidR="00032A5B" w:rsidRDefault="00032A5B" w:rsidP="00032A5B">
      <w:pPr>
        <w:jc w:val="both"/>
      </w:pPr>
    </w:p>
    <w:p w:rsidR="00032A5B" w:rsidRDefault="00032A5B" w:rsidP="00032A5B">
      <w:pPr>
        <w:jc w:val="both"/>
      </w:pPr>
      <w:r>
        <w:t xml:space="preserve">II </w:t>
      </w:r>
    </w:p>
    <w:p w:rsidR="00032A5B" w:rsidRDefault="00032A5B" w:rsidP="00032A5B">
      <w:pPr>
        <w:jc w:val="both"/>
      </w:pPr>
    </w:p>
    <w:p w:rsidR="00032A5B" w:rsidRDefault="00032A5B" w:rsidP="00032A5B">
      <w:pPr>
        <w:jc w:val="both"/>
      </w:pPr>
      <w:r>
        <w:t xml:space="preserve">The lessee and the secured creditors assert that the lessor had a duty to discover if the property in the storage locker was subject to a perfected security interest by checking the records in the office of the Oklahoma County Clerk, where the financing statements were filed in </w:t>
      </w:r>
      <w:smartTag w:uri="urn:schemas-microsoft-com:office:smarttags" w:element="place">
        <w:smartTag w:uri="urn:schemas-microsoft-com:office:smarttags" w:element="PlaceName">
          <w:r>
            <w:t>Oklahoma</w:t>
          </w:r>
        </w:smartTag>
        <w:r>
          <w:t xml:space="preserve"> </w:t>
        </w:r>
        <w:smartTag w:uri="urn:schemas-microsoft-com:office:smarttags" w:element="PlaceType">
          <w:r>
            <w:t>County</w:t>
          </w:r>
        </w:smartTag>
      </w:smartTag>
      <w:r>
        <w:t xml:space="preserve"> as required by the Uniform Commercial Code.  It was admitted that no records were checked before the property was sold, either in </w:t>
      </w:r>
      <w:smartTag w:uri="urn:schemas-microsoft-com:office:smarttags" w:element="City">
        <w:smartTag w:uri="urn:schemas-microsoft-com:office:smarttags" w:element="place">
          <w:r>
            <w:t>Cleveland</w:t>
          </w:r>
        </w:smartTag>
      </w:smartTag>
      <w:r>
        <w:t xml:space="preserve"> or </w:t>
      </w:r>
      <w:smartTag w:uri="urn:schemas-microsoft-com:office:smarttags" w:element="place">
        <w:smartTag w:uri="urn:schemas-microsoft-com:office:smarttags" w:element="PlaceName">
          <w:r>
            <w:t>Oklahoma</w:t>
          </w:r>
        </w:smartTag>
        <w:r>
          <w:t xml:space="preserve"> </w:t>
        </w:r>
        <w:smartTag w:uri="urn:schemas-microsoft-com:office:smarttags" w:element="PlaceType">
          <w:r>
            <w:t>Counties</w:t>
          </w:r>
        </w:smartTag>
      </w:smartTag>
      <w:r>
        <w:t xml:space="preserve">. Even if the records had been checked, no record would have been found listing Hacienda Hernandez of Norman, Inc., as a debtor.  The failure of the lessor to inspect these records did not prejudice the lessee or the secured creditors. </w:t>
      </w:r>
    </w:p>
    <w:p w:rsidR="00032A5B" w:rsidRDefault="00032A5B" w:rsidP="00032A5B">
      <w:pPr>
        <w:jc w:val="both"/>
      </w:pPr>
    </w:p>
    <w:p w:rsidR="00032A5B" w:rsidRDefault="00032A5B" w:rsidP="00032A5B">
      <w:pPr>
        <w:jc w:val="both"/>
      </w:pPr>
    </w:p>
    <w:p w:rsidR="00032A5B" w:rsidRDefault="00032A5B" w:rsidP="00032A5B">
      <w:pPr>
        <w:jc w:val="both"/>
      </w:pPr>
      <w:r>
        <w:t xml:space="preserve">III </w:t>
      </w:r>
    </w:p>
    <w:p w:rsidR="00032A5B" w:rsidRDefault="00032A5B" w:rsidP="00032A5B">
      <w:pPr>
        <w:jc w:val="both"/>
      </w:pPr>
    </w:p>
    <w:p w:rsidR="00032A5B" w:rsidRDefault="00032A5B" w:rsidP="00032A5B">
      <w:pPr>
        <w:jc w:val="both"/>
      </w:pPr>
      <w:r>
        <w:t xml:space="preserve">It is contended by the lessee and the secured creditors that they did not receive notice of the foreclosure sale. Section 91 is quite specific regarding the notice requirements of a foreclosure sale. Even though the mailed notices were returned to the lessor, they were mailed to the last known address of the lessee as required by statute.  The lessee admitted that the mail at Hacienda Hernandez of Norman, Inc., ceased to be picked up, and that no forwarding address was given to the post office.  We find the notice was proper. </w:t>
      </w:r>
    </w:p>
    <w:p w:rsidR="00032A5B" w:rsidRDefault="00032A5B" w:rsidP="00032A5B">
      <w:pPr>
        <w:jc w:val="both"/>
      </w:pPr>
    </w:p>
    <w:p w:rsidR="00032A5B" w:rsidRDefault="00032A5B" w:rsidP="00032A5B">
      <w:pPr>
        <w:jc w:val="both"/>
      </w:pPr>
      <w:r>
        <w:t xml:space="preserve">There is no controversy as to the matters appealed from.  The entry for summary judgment is, therefore, affirmed. </w:t>
      </w:r>
    </w:p>
    <w:p w:rsidR="00032A5B" w:rsidRDefault="00032A5B" w:rsidP="00032A5B">
      <w:pPr>
        <w:jc w:val="both"/>
      </w:pPr>
    </w:p>
    <w:p w:rsidR="00032A5B" w:rsidRDefault="00032A5B" w:rsidP="00032A5B">
      <w:pPr>
        <w:jc w:val="both"/>
      </w:pPr>
      <w:r>
        <w:t>ALL THE JUSTICES CONCUR.</w:t>
      </w:r>
    </w:p>
    <w:p w:rsidR="00032A5B" w:rsidRDefault="00032A5B" w:rsidP="00032A5B"/>
    <w:p w:rsidR="00032A5B" w:rsidRPr="00260876" w:rsidRDefault="00032A5B" w:rsidP="00032A5B">
      <w:pPr>
        <w:ind w:left="1200" w:right="1200"/>
        <w:jc w:val="center"/>
        <w:rPr>
          <w:bCs/>
        </w:rPr>
      </w:pPr>
      <w:r>
        <w:br w:type="page"/>
      </w:r>
      <w:r w:rsidRPr="00260876">
        <w:rPr>
          <w:bCs/>
        </w:rPr>
        <w:lastRenderedPageBreak/>
        <w:t>BANK OF SOUTH PALM BEACHES, Appellant, v. STOCKTON, WHATLEY, DAVIN &amp; COMPANY, etc., CASTLE BUILDERS, INC., etc., et al., Appellees</w:t>
      </w:r>
    </w:p>
    <w:p w:rsidR="00032A5B" w:rsidRPr="00260876" w:rsidRDefault="00032A5B" w:rsidP="00032A5B">
      <w:pPr>
        <w:rPr>
          <w:bCs/>
        </w:rPr>
      </w:pPr>
    </w:p>
    <w:p w:rsidR="00032A5B" w:rsidRPr="00260876" w:rsidRDefault="00032A5B" w:rsidP="00032A5B">
      <w:pPr>
        <w:ind w:left="1200" w:right="1200"/>
        <w:jc w:val="center"/>
        <w:rPr>
          <w:bCs/>
        </w:rPr>
      </w:pPr>
      <w:r w:rsidRPr="00260876">
        <w:rPr>
          <w:bCs/>
        </w:rPr>
        <w:t xml:space="preserve">Court of Appeal of </w:t>
      </w:r>
      <w:smartTag w:uri="urn:schemas-microsoft-com:office:smarttags" w:element="State">
        <w:smartTag w:uri="urn:schemas-microsoft-com:office:smarttags" w:element="place">
          <w:r w:rsidRPr="00260876">
            <w:rPr>
              <w:bCs/>
            </w:rPr>
            <w:t>Florida</w:t>
          </w:r>
        </w:smartTag>
      </w:smartTag>
      <w:r w:rsidRPr="00260876">
        <w:rPr>
          <w:bCs/>
        </w:rPr>
        <w:t>, Fourth District</w:t>
      </w:r>
    </w:p>
    <w:p w:rsidR="00032A5B" w:rsidRPr="00260876" w:rsidRDefault="00032A5B" w:rsidP="00032A5B">
      <w:pPr>
        <w:rPr>
          <w:bCs/>
        </w:rPr>
      </w:pPr>
    </w:p>
    <w:p w:rsidR="00032A5B" w:rsidRDefault="00032A5B" w:rsidP="00032A5B">
      <w:pPr>
        <w:ind w:left="1200" w:right="1200"/>
        <w:jc w:val="center"/>
        <w:rPr>
          <w:bCs/>
        </w:rPr>
      </w:pPr>
      <w:r w:rsidRPr="00260876">
        <w:rPr>
          <w:bCs/>
        </w:rPr>
        <w:t>473 So. 2d 1358</w:t>
      </w:r>
    </w:p>
    <w:p w:rsidR="00032A5B" w:rsidRPr="00260876" w:rsidRDefault="00032A5B" w:rsidP="00032A5B">
      <w:pPr>
        <w:ind w:left="1200" w:right="1200"/>
        <w:jc w:val="center"/>
        <w:rPr>
          <w:bCs/>
        </w:rPr>
      </w:pPr>
    </w:p>
    <w:p w:rsidR="00032A5B" w:rsidRPr="00260876" w:rsidRDefault="00032A5B" w:rsidP="00032A5B">
      <w:pPr>
        <w:ind w:left="1200" w:right="1200"/>
        <w:jc w:val="center"/>
        <w:rPr>
          <w:bCs/>
        </w:rPr>
      </w:pPr>
      <w:smartTag w:uri="urn:schemas-microsoft-com:office:smarttags" w:element="date">
        <w:smartTagPr>
          <w:attr w:name="Year" w:val="1985"/>
          <w:attr w:name="Day" w:val="31"/>
          <w:attr w:name="Month" w:val="7"/>
          <w:attr w:name="ls" w:val="trans"/>
        </w:smartTagPr>
        <w:r w:rsidRPr="00260876">
          <w:rPr>
            <w:bCs/>
          </w:rPr>
          <w:t>July 31, 1985</w:t>
        </w:r>
      </w:smartTag>
      <w:r w:rsidRPr="00260876">
        <w:rPr>
          <w:bCs/>
        </w:rPr>
        <w:t xml:space="preserve"> </w:t>
      </w:r>
    </w:p>
    <w:p w:rsidR="00032A5B" w:rsidRPr="00260876" w:rsidRDefault="00032A5B" w:rsidP="00032A5B">
      <w:pPr>
        <w:rPr>
          <w:bCs/>
        </w:rPr>
      </w:pPr>
    </w:p>
    <w:p w:rsidR="00032A5B" w:rsidRDefault="00032A5B" w:rsidP="00032A5B">
      <w:pPr>
        <w:rPr>
          <w:bCs/>
        </w:rPr>
      </w:pPr>
    </w:p>
    <w:p w:rsidR="00032A5B" w:rsidRPr="00260876" w:rsidRDefault="00032A5B" w:rsidP="00032A5B">
      <w:r w:rsidRPr="00260876">
        <w:rPr>
          <w:bCs/>
        </w:rPr>
        <w:t xml:space="preserve">JUDGES:  </w:t>
      </w:r>
      <w:r w:rsidRPr="00260876">
        <w:t xml:space="preserve">Hurley, J.  Downey and Barkett, JJ., concur.  </w:t>
      </w:r>
    </w:p>
    <w:p w:rsidR="00032A5B" w:rsidRPr="00260876" w:rsidRDefault="00032A5B" w:rsidP="00032A5B"/>
    <w:p w:rsidR="00032A5B" w:rsidRPr="00260876" w:rsidRDefault="00032A5B" w:rsidP="00032A5B">
      <w:r w:rsidRPr="00260876">
        <w:rPr>
          <w:bCs/>
        </w:rPr>
        <w:t xml:space="preserve">OPINION BY:  </w:t>
      </w:r>
      <w:r w:rsidRPr="00260876">
        <w:t xml:space="preserve">HURLEY </w:t>
      </w:r>
    </w:p>
    <w:p w:rsidR="00032A5B" w:rsidRDefault="00032A5B" w:rsidP="00032A5B">
      <w:pPr>
        <w:spacing w:before="120"/>
      </w:pPr>
      <w:r>
        <w:t xml:space="preserve">This is an appeal from a final judgment determining the lien priority of competing mortgages and claims in a foreclosure action.  In an apparent attempt to reach the fairest result, the trial court disregarded the "first in time" maxim and ruled that appellee's interest was superior to that of appellant bank, notwithstanding the fact that the bank's interest was recorded first.  We reverse.  The principal question before us is whether a court sitting in equity may circumvent established rules of law in order to effect an equitable disposition. </w:t>
      </w:r>
    </w:p>
    <w:p w:rsidR="00032A5B" w:rsidRDefault="00032A5B" w:rsidP="00032A5B">
      <w:pPr>
        <w:spacing w:before="120"/>
      </w:pPr>
      <w:r>
        <w:rPr>
          <w:b/>
          <w:bCs/>
        </w:rPr>
        <w:t>I</w:t>
      </w:r>
      <w:r>
        <w:t xml:space="preserve"> </w:t>
      </w:r>
    </w:p>
    <w:p w:rsidR="00032A5B" w:rsidRDefault="00032A5B" w:rsidP="00032A5B">
      <w:pPr>
        <w:spacing w:before="120"/>
      </w:pPr>
      <w:r>
        <w:t xml:space="preserve">In 1980, Stockton, Whatley, Davin &amp; Company ("SWD") loaned $448,200 to Castle Builders construction company.  This loan was secured by a promptly recorded mortgage on two parcels of land. Eventually, Castle Builders fell behind in its payments on the loan and asked SWD for a second loan in the amount of $150,000, promising to apply the proceeds of the second loan to pay off the arrearage which had accumulated on the first.  Under the terms proposed by Castle Builders, the two loans would together be secured by the two parcels mentioned above. </w:t>
      </w:r>
    </w:p>
    <w:p w:rsidR="00032A5B" w:rsidRDefault="00032A5B" w:rsidP="00032A5B">
      <w:pPr>
        <w:spacing w:before="120"/>
      </w:pPr>
      <w:r>
        <w:t xml:space="preserve">Although SWD was willing to advance the additional $150,000, an obstacle prevented the company from doing so.  After SWD had recorded the mortgage which secured the initial loan, several additional creditors had lent Castle Builders various sums.  All of these intervening loans were secured by duly-recorded mortgages on the same two parcels of land offered as security for the proposed second loan to Castle Builders.  SWD realized that these mortgages would have lien priority in the encumbered parcels over any mortgage securing funds subsequently advanced by the company.  The problem was seemingly resolved when these intervening creditors agreed to subordinate their security interests in the two designated parcels to the interest which would be created therein when SWD lent Castle Builders the additional $150,000. </w:t>
      </w:r>
    </w:p>
    <w:p w:rsidR="00032A5B" w:rsidRDefault="00032A5B" w:rsidP="00032A5B">
      <w:pPr>
        <w:spacing w:before="120"/>
      </w:pPr>
      <w:r>
        <w:t xml:space="preserve">Apparently through an oversight on the part of SWD, however, the company never procured a subordination agreement from appellant bank regarding a mortgage the bank held on one of the parcels. That mortgage secured a note from Castle Builders in the amount of $77,500 and had been recorded after SWD recorded its original mortgage securing the $448,200 loan, but before SWD and Castle Builders began discussing the second loan. </w:t>
      </w:r>
    </w:p>
    <w:p w:rsidR="00032A5B" w:rsidRDefault="00032A5B" w:rsidP="00032A5B">
      <w:pPr>
        <w:spacing w:before="120"/>
      </w:pPr>
      <w:r>
        <w:t xml:space="preserve">Despite the existence of this non-subordinated intervening mortgage, SWD lent Castle Builders the additional $150,000.  The sum was advanced pursuant to a "mortgage modification agreement" under which the above-mentioned parcels of land secured both the initial $448,200 loan and the subsequent $150,000 loan.  Of the $150,000 advanced, $20,822.80 was used to pay off a portion of the accrued overdue interest and principal on the $448,200 loan.  Fifty thousand dollars was placed in an interest reserve account to be used to pay for future interest payments as they become due.  Thus, a total of $72,822.80 of the $150,000 was either used or designated for payments on the $448,200 note. </w:t>
      </w:r>
    </w:p>
    <w:p w:rsidR="00032A5B" w:rsidRDefault="00032A5B" w:rsidP="00032A5B">
      <w:pPr>
        <w:spacing w:before="120"/>
      </w:pPr>
      <w:r>
        <w:t xml:space="preserve">Notwithstanding these measures, Castle Builders defaulted on both of the SWD loans, and the company initiated foreclosure proceedings.  Appellant bank was brought into the action as a codefendant and filed a cross-complaint.  In its final judgment of foreclosure, the trial court found that SWD had first lien priority on the two parcels in the following amounts: (A) $405,575 for the remaining unpaid principal on the $448,200 note, (B) $105,381.21 in accrued overdue interest on the $448,200 note, (C) $72,822.80, which represented that portion of the $150,000 advanced under the modification agreement which was used or designed to pay off interest on the $448,200 note, and (D) $20,000 in attorney's fees. </w:t>
      </w:r>
    </w:p>
    <w:p w:rsidR="00032A5B" w:rsidRDefault="00032A5B" w:rsidP="00032A5B">
      <w:pPr>
        <w:spacing w:before="120"/>
      </w:pPr>
      <w:r>
        <w:t xml:space="preserve">The bank contests the finding of lien priority for only two of the above amounts — the $72,822.80 advanced under the modification agreement and the $20,000 attorney's fees figure. </w:t>
      </w:r>
    </w:p>
    <w:p w:rsidR="00032A5B" w:rsidRDefault="00032A5B" w:rsidP="00032A5B">
      <w:pPr>
        <w:spacing w:before="120"/>
        <w:rPr>
          <w:b/>
          <w:bCs/>
        </w:rPr>
      </w:pPr>
    </w:p>
    <w:p w:rsidR="00A81F86" w:rsidRDefault="00A81F86" w:rsidP="00032A5B">
      <w:pPr>
        <w:spacing w:before="120"/>
        <w:rPr>
          <w:b/>
          <w:bCs/>
        </w:rPr>
      </w:pPr>
    </w:p>
    <w:p w:rsidR="00032A5B" w:rsidRDefault="00032A5B" w:rsidP="00032A5B">
      <w:pPr>
        <w:spacing w:before="120"/>
      </w:pPr>
      <w:r>
        <w:rPr>
          <w:b/>
          <w:bCs/>
        </w:rPr>
        <w:lastRenderedPageBreak/>
        <w:t>II</w:t>
      </w:r>
      <w:r>
        <w:t xml:space="preserve"> </w:t>
      </w:r>
    </w:p>
    <w:p w:rsidR="00032A5B" w:rsidRDefault="00032A5B" w:rsidP="00032A5B">
      <w:pPr>
        <w:spacing w:before="120"/>
      </w:pPr>
      <w:r>
        <w:t xml:space="preserve">The bank contends that its lien priority is superior to that of the $72,822.80 advanced pursuant to the modification agreement because its $77,500 mortgage encumbering one of the parcels was recorded before SWD entered into the agreement.  The parties agree, and the lower court recognized, that the bank's mortgage was indeed recorded prior to the mortgage modification agreement. </w:t>
      </w:r>
    </w:p>
    <w:p w:rsidR="00032A5B" w:rsidRDefault="00032A5B" w:rsidP="00032A5B">
      <w:pPr>
        <w:spacing w:before="120"/>
      </w:pPr>
      <w:r>
        <w:t xml:space="preserve">We find this fact to be determinative of the priority issue, for "the well-established rule governing priority of lien interests is 'the first in time is the first in right.'" [citations omitted]  The Supreme Court stated the rule in less-abbreviated form in </w:t>
      </w:r>
      <w:r>
        <w:rPr>
          <w:i/>
          <w:iCs/>
        </w:rPr>
        <w:t>United States v. City of New Britain</w:t>
      </w:r>
      <w:r>
        <w:t xml:space="preserve">, 347 U.S. 81, 85 (1954): </w:t>
      </w:r>
    </w:p>
    <w:p w:rsidR="00032A5B" w:rsidRDefault="00032A5B" w:rsidP="00032A5B"/>
    <w:p w:rsidR="00032A5B" w:rsidRDefault="00032A5B" w:rsidP="00032A5B">
      <w:pPr>
        <w:ind w:left="600" w:right="600"/>
      </w:pPr>
      <w:r>
        <w:rPr>
          <w:sz w:val="16"/>
          <w:szCs w:val="16"/>
        </w:rPr>
        <w:t>"The principle is believed to be universal, that a prior lien gives a prior claim, which is entitled to prior satisfaction out of the subject it binds, unless the lien be intrinsically defective, or be displaced by some act of the party holding it, which shall postpone him in a Court of law or equity to a subsequent claimant."</w:t>
      </w:r>
    </w:p>
    <w:p w:rsidR="00032A5B" w:rsidRDefault="00032A5B" w:rsidP="00032A5B">
      <w:pPr>
        <w:spacing w:before="120"/>
      </w:pPr>
      <w:r>
        <w:t xml:space="preserve">If notice — actual or constructive — has been given, the priority of a mortgage will be determined by priority in time.  [citations omitted]  The very act of recording a mortgage in compliance with the </w:t>
      </w:r>
      <w:smartTag w:uri="urn:schemas-microsoft-com:office:smarttags" w:element="place">
        <w:smartTag w:uri="urn:schemas-microsoft-com:office:smarttags" w:element="State">
          <w:r>
            <w:t>Florida</w:t>
          </w:r>
        </w:smartTag>
      </w:smartTag>
      <w:r>
        <w:t xml:space="preserve"> recording statute </w:t>
      </w:r>
      <w:r>
        <w:rPr>
          <w:sz w:val="16"/>
          <w:szCs w:val="16"/>
          <w:vertAlign w:val="superscript"/>
        </w:rPr>
        <w:t>1</w:t>
      </w:r>
      <w:r>
        <w:t xml:space="preserve"> constitutes constructive notice to all subsequent mortgagees. [citations omitted]</w:t>
      </w:r>
    </w:p>
    <w:p w:rsidR="00032A5B" w:rsidRDefault="00032A5B" w:rsidP="00032A5B">
      <w:pPr>
        <w:spacing w:before="120"/>
      </w:pPr>
      <w:r>
        <w:t xml:space="preserve">It is not disputed that the bank's mortgage securing the $77,500 note from Castle Builders was recorded in compliance with the </w:t>
      </w:r>
      <w:smartTag w:uri="urn:schemas-microsoft-com:office:smarttags" w:element="place">
        <w:smartTag w:uri="urn:schemas-microsoft-com:office:smarttags" w:element="State">
          <w:r>
            <w:t>Florida</w:t>
          </w:r>
        </w:smartTag>
      </w:smartTag>
      <w:r>
        <w:t xml:space="preserve"> recording statute and before SWD either recorded or entered into the modification agreement with Castle Builders.  SWD therefore had constructive knowledge of the bank's prior interest, and the priority in time rule governs.  Consequently, the bank's mortgage securing the $77,500 note has lien priority over all funds advanced to Castle Builders pursuant to the mortgage modification agreement. </w:t>
      </w:r>
    </w:p>
    <w:p w:rsidR="00032A5B" w:rsidRDefault="00032A5B" w:rsidP="00032A5B">
      <w:pPr>
        <w:spacing w:before="120"/>
      </w:pPr>
      <w:r>
        <w:t xml:space="preserve">Notwithstanding the obvious conflict between established precedent and the lower court's ruling, SWD nevertheless advances a two-pronged argument for upholding the trial court.  First, the company contends that the trial court effected an equitable disposition of the case.  Since the bank does not dispute that SWD has first lien priority as to all accumulated overdue principal and interest on the original $448,200 note, SWD argues that it should have first lien priority as to the $72,822.80 which was either used or set aside to pay off the accumulation on that note. Second, SWD advances the novel theory that a court sitting  in equity may circumvent established rules of law in order to reach a fair result. </w:t>
      </w:r>
    </w:p>
    <w:p w:rsidR="00032A5B" w:rsidRDefault="00032A5B" w:rsidP="00032A5B">
      <w:pPr>
        <w:spacing w:before="120"/>
      </w:pPr>
      <w:r>
        <w:t xml:space="preserve">We concede that a mortgage foreclosure is an equitable action.  We refrain from deciding whether the lower court reached the fairest possible result.  Such a determination is unnecessary since we categorically reject appellee's theory that a court sitting in equity has the power to disregard established law in order to reach a fair result. </w:t>
      </w:r>
    </w:p>
    <w:p w:rsidR="00032A5B" w:rsidRDefault="00032A5B" w:rsidP="00032A5B">
      <w:pPr>
        <w:spacing w:before="120"/>
      </w:pPr>
      <w:r>
        <w:t>Attractive as this theory may be to SWD under the circumstances, the simple fact is that it has no basis in law.  Indeed, the theory is in direct conflict with a cardinal tenet of the law of equity. . . .  "Courts of equity have no power to overrule established law." This equitable principle delineates the jurisprudential borders beyond which courts of equity may not venture.</w:t>
      </w:r>
      <w:r w:rsidR="0099620F">
        <w:t xml:space="preserve"> . . .</w:t>
      </w:r>
    </w:p>
    <w:p w:rsidR="00032A5B" w:rsidRDefault="00032A5B" w:rsidP="00032A5B">
      <w:pPr>
        <w:spacing w:before="120"/>
      </w:pPr>
      <w:r>
        <w:t>Whenever a given point of law is clearly covered by established legal principles, equity cannot interfere and disregard these principles.  [citations omitted]</w:t>
      </w:r>
    </w:p>
    <w:p w:rsidR="00032A5B" w:rsidRDefault="00032A5B" w:rsidP="00032A5B">
      <w:pPr>
        <w:spacing w:before="120"/>
      </w:pPr>
      <w:r>
        <w:t xml:space="preserve">We have already noted that under clearly-established principles of law, appellant bank's duly-recorded mortgage securing the $77,500 note has lien priority over the $72,822.80 which SWD subsequently advanced under the mortgage modification agreement. The trial court exceeded its authority when it disregarded these established principles and found in favor of SWD on the lien priority issue.  Courts of equity simply have no power to issue rulings which they consider to be in the best interests of justice without regard to established law. . . . </w:t>
      </w:r>
    </w:p>
    <w:p w:rsidR="00032A5B" w:rsidRDefault="00032A5B" w:rsidP="00032A5B">
      <w:pPr>
        <w:spacing w:before="120"/>
      </w:pPr>
      <w:r>
        <w:t>Accordingly, we hold that the lower court erred when it failed to grant appellant bank first lien priority on its $77,500 mortgage vis-a-vis the $72,822.80 advanced by SWD pursuant to the modification agreement.  Consequently, with respect to this defendant, we reverse and remand with instructions that the trial court correct its ruling to conform to this decision.</w:t>
      </w:r>
    </w:p>
    <w:p w:rsidR="00032A5B" w:rsidRDefault="00032A5B" w:rsidP="00032A5B">
      <w:pPr>
        <w:spacing w:before="120"/>
      </w:pPr>
      <w:smartTag w:uri="urn:schemas-microsoft-com:office:smarttags" w:element="place">
        <w:smartTag w:uri="urn:schemas-microsoft-com:office:smarttags" w:element="City">
          <w:r>
            <w:t>DOWNEY</w:t>
          </w:r>
        </w:smartTag>
      </w:smartTag>
      <w:r>
        <w:t xml:space="preserve"> and BARKETT, JJ., concur.</w:t>
      </w:r>
    </w:p>
    <w:p w:rsidR="001A4727" w:rsidRPr="00B82CE4" w:rsidRDefault="00032A5B" w:rsidP="001A4727">
      <w:pPr>
        <w:ind w:left="1200" w:right="1200"/>
        <w:jc w:val="center"/>
        <w:rPr>
          <w:bCs/>
          <w:color w:val="000000" w:themeColor="text1"/>
        </w:rPr>
      </w:pPr>
      <w:r>
        <w:br w:type="page"/>
      </w:r>
      <w:r w:rsidR="001A4727" w:rsidRPr="00B82CE4">
        <w:rPr>
          <w:bCs/>
          <w:color w:val="000000" w:themeColor="text1"/>
        </w:rPr>
        <w:lastRenderedPageBreak/>
        <w:t>PANKRATZ IMPLEMENT COMPANY, Appellee, v. CITIZENS NATIONAL BANK, Appellant.</w:t>
      </w:r>
    </w:p>
    <w:p w:rsidR="001A4727" w:rsidRPr="00B82CE4" w:rsidRDefault="001A4727" w:rsidP="001A4727">
      <w:pPr>
        <w:rPr>
          <w:bCs/>
          <w:color w:val="000000" w:themeColor="text1"/>
        </w:rPr>
      </w:pPr>
    </w:p>
    <w:p w:rsidR="001A4727" w:rsidRPr="00B82CE4" w:rsidRDefault="00D8416C" w:rsidP="001A4727">
      <w:pPr>
        <w:ind w:left="1200" w:right="1200"/>
        <w:jc w:val="center"/>
        <w:rPr>
          <w:bCs/>
          <w:color w:val="000000" w:themeColor="text1"/>
        </w:rPr>
      </w:pPr>
      <w:r>
        <w:rPr>
          <w:bCs/>
          <w:color w:val="000000" w:themeColor="text1"/>
        </w:rPr>
        <w:t>Supreme Court o</w:t>
      </w:r>
      <w:r w:rsidRPr="00B82CE4">
        <w:rPr>
          <w:bCs/>
          <w:color w:val="000000" w:themeColor="text1"/>
        </w:rPr>
        <w:t>f Kansas</w:t>
      </w:r>
    </w:p>
    <w:p w:rsidR="001A4727" w:rsidRPr="00B82CE4" w:rsidRDefault="001A4727" w:rsidP="001A4727">
      <w:pPr>
        <w:rPr>
          <w:bCs/>
          <w:color w:val="000000" w:themeColor="text1"/>
        </w:rPr>
      </w:pPr>
    </w:p>
    <w:p w:rsidR="001A4727" w:rsidRPr="00B82CE4" w:rsidRDefault="001A4727" w:rsidP="001A4727">
      <w:pPr>
        <w:ind w:left="1200" w:right="1200"/>
        <w:jc w:val="center"/>
        <w:rPr>
          <w:bCs/>
        </w:rPr>
      </w:pPr>
      <w:r w:rsidRPr="00B82CE4">
        <w:rPr>
          <w:bCs/>
          <w:color w:val="000000" w:themeColor="text1"/>
        </w:rPr>
        <w:t>281 Kan. 209; 130 P.3d 57</w:t>
      </w:r>
    </w:p>
    <w:p w:rsidR="001A4727" w:rsidRPr="00B82CE4" w:rsidRDefault="001A4727" w:rsidP="001A4727">
      <w:pPr>
        <w:rPr>
          <w:bCs/>
        </w:rPr>
      </w:pPr>
    </w:p>
    <w:p w:rsidR="001A4727" w:rsidRPr="00B82CE4" w:rsidRDefault="001A4727" w:rsidP="001A4727">
      <w:pPr>
        <w:ind w:left="1200" w:right="1200"/>
        <w:jc w:val="center"/>
        <w:rPr>
          <w:bCs/>
        </w:rPr>
      </w:pPr>
      <w:r w:rsidRPr="00B82CE4">
        <w:rPr>
          <w:bCs/>
        </w:rPr>
        <w:t xml:space="preserve">March 17, 2006, Opinion Filed </w:t>
      </w:r>
    </w:p>
    <w:p w:rsidR="001A4727" w:rsidRPr="00B82CE4" w:rsidRDefault="001A4727" w:rsidP="001A4727">
      <w:pPr>
        <w:rPr>
          <w:bCs/>
        </w:rPr>
      </w:pPr>
    </w:p>
    <w:p w:rsidR="001A4727" w:rsidRDefault="001A4727" w:rsidP="001A4727">
      <w:r w:rsidRPr="00B82CE4">
        <w:rPr>
          <w:bCs/>
        </w:rPr>
        <w:t>DISPOSITION:</w:t>
      </w:r>
      <w:r w:rsidRPr="00B82CE4">
        <w:t xml:space="preserve"> </w:t>
      </w:r>
      <w:r>
        <w:t xml:space="preserve"> </w:t>
      </w:r>
      <w:r w:rsidRPr="00B82CE4">
        <w:t xml:space="preserve">Judgment of the Court of Appeals reversing </w:t>
      </w:r>
      <w:r>
        <w:t>the district court is affirmed.</w:t>
      </w:r>
    </w:p>
    <w:p w:rsidR="001A4727" w:rsidRDefault="001A4727" w:rsidP="001A4727">
      <w:pPr>
        <w:rPr>
          <w:bCs/>
        </w:rPr>
      </w:pPr>
    </w:p>
    <w:p w:rsidR="001A4727" w:rsidRPr="00B82CE4" w:rsidRDefault="001A4727" w:rsidP="001A4727"/>
    <w:p w:rsidR="001A4727" w:rsidRPr="00B82CE4" w:rsidRDefault="001A4727" w:rsidP="001A4727">
      <w:r w:rsidRPr="00B82CE4">
        <w:rPr>
          <w:bCs/>
        </w:rPr>
        <w:t xml:space="preserve">OPINION BY: </w:t>
      </w:r>
      <w:r>
        <w:rPr>
          <w:bCs/>
        </w:rPr>
        <w:t xml:space="preserve"> </w:t>
      </w:r>
      <w:r w:rsidRPr="00B82CE4">
        <w:t>The opinion of the court was delivered by DAVIS, J. LOCKETT, J., Retired, assigned.</w:t>
      </w:r>
    </w:p>
    <w:p w:rsidR="001A4727" w:rsidRDefault="001A4727" w:rsidP="001A4727">
      <w:pPr>
        <w:spacing w:before="120"/>
      </w:pPr>
      <w:r>
        <w:t xml:space="preserve">Pankratz Implement Co. (Pankratz) attempted to perfect its security interest in equipment sold to Rodger House. In filing with the Secretary of State, Pankratz spelled the debtor's name as </w:t>
      </w:r>
      <w:r>
        <w:rPr>
          <w:i/>
          <w:iCs/>
        </w:rPr>
        <w:t xml:space="preserve">Roger </w:t>
      </w:r>
      <w:r>
        <w:t>House. Citizens National Bank (CNB) later attempted to secure the same property using the debtor's correct name, Rodger House. Rodger House filed for bankruptcy; Pankratz obtained relief from the bankruptcy stay order and filed suit against CNB in order to realize its security interest. The district court determined in accordance with recently enacted amendments to Article 9 of the Kansas Uniform Commercial Code (UCC) that Pankratz was entitled to summary judgment because use of the debtor's incorrect name was a minor error and not seriously misleading. The Court of Appeals reversed, concluding that the use of the debtor's incorrect name was seriously misleading. We granted Pankratz' petition for review and affirm the Court of Appeals.</w:t>
      </w:r>
    </w:p>
    <w:p w:rsidR="001A4727" w:rsidRDefault="001A4727" w:rsidP="001A4727"/>
    <w:p w:rsidR="001A4727" w:rsidRDefault="001A4727" w:rsidP="001A4727">
      <w:r>
        <w:rPr>
          <w:b/>
          <w:bCs/>
        </w:rPr>
        <w:t>FACTS</w:t>
      </w:r>
    </w:p>
    <w:p w:rsidR="001A4727" w:rsidRDefault="001A4727" w:rsidP="001A4727">
      <w:pPr>
        <w:spacing w:before="120"/>
      </w:pPr>
      <w:r>
        <w:t xml:space="preserve">The facts in this case are uncontroverted. On March 18, 1998, Rodger House purchased a Steiger Bearcat tractor from Pankratz. House signed a note and security agreement in favor of Pankratz using his correct name, Rodger House. Pankratz listed the debtor's name in the agreement as "Roger House" instead of "Rodger House." Pankratz, </w:t>
      </w:r>
      <w:r w:rsidR="00D8416C">
        <w:t xml:space="preserve">. . . </w:t>
      </w:r>
      <w:r>
        <w:t>then filed a financing statement with the Kansas Secretary of State on March 23, 1998, using the same misspelled name, Roger House.</w:t>
      </w:r>
    </w:p>
    <w:p w:rsidR="001A4727" w:rsidRDefault="001A4727" w:rsidP="001A4727">
      <w:pPr>
        <w:spacing w:before="120"/>
      </w:pPr>
      <w:r>
        <w:t>On April 8, 1999, House executed a note and security agreement in favor of Citizens National Bank (CNB), from which House obtained a loan. House pledged as collateral, among other things, all equipment "that I now own and that I may own in the future." On March 4, 1999, CNB filed a financing statement with the Kansas Secretary of State using the correct name of the debtor, Rodger House.</w:t>
      </w:r>
    </w:p>
    <w:p w:rsidR="001A4727" w:rsidRDefault="001A4727" w:rsidP="001A4727">
      <w:pPr>
        <w:spacing w:before="120"/>
      </w:pPr>
      <w:r>
        <w:t>On June 10, 2002, House filed a petition for bankruptcy under Chapter 7 in the United States Bankruptcy Court for the District of Kansas.</w:t>
      </w:r>
      <w:r w:rsidR="00D8416C">
        <w:t xml:space="preserve"> . </w:t>
      </w:r>
      <w:r>
        <w:t>.</w:t>
      </w:r>
    </w:p>
    <w:p w:rsidR="001A4727" w:rsidRDefault="001A4727" w:rsidP="001A4727"/>
    <w:p w:rsidR="001A4727" w:rsidRDefault="001A4727" w:rsidP="001A4727">
      <w:r>
        <w:rPr>
          <w:b/>
          <w:bCs/>
          <w:i/>
          <w:iCs/>
        </w:rPr>
        <w:t>District Court</w:t>
      </w:r>
    </w:p>
    <w:p w:rsidR="001A4727" w:rsidRDefault="001A4727" w:rsidP="001A4727">
      <w:pPr>
        <w:spacing w:before="120"/>
      </w:pPr>
      <w:r>
        <w:t>Both parties moved for summary judgment. The district court identified the issue for resolution: "The sole issue in this case is whether the filing of a financing statement which misspells the debtor's name is insufficient to render a filed financing statement seriously misleading under the UCC and therefore ineffective as to other creditors . . . claiming a security interest in the same collateral."</w:t>
      </w:r>
    </w:p>
    <w:p w:rsidR="001A4727" w:rsidRDefault="001A4727" w:rsidP="001A4727">
      <w:pPr>
        <w:spacing w:before="120"/>
      </w:pPr>
      <w:r>
        <w:t>Summary judgment was granted to Pankratz based upon the court's conclusion that the misspelled first name of the debtor was a minor error, not seriously misleading.</w:t>
      </w:r>
    </w:p>
    <w:p w:rsidR="001A4727" w:rsidRDefault="001A4727" w:rsidP="001A4727"/>
    <w:p w:rsidR="001A4727" w:rsidRDefault="001A4727" w:rsidP="001A4727">
      <w:r>
        <w:rPr>
          <w:b/>
          <w:bCs/>
          <w:i/>
          <w:iCs/>
        </w:rPr>
        <w:t>Court of Appeals</w:t>
      </w:r>
    </w:p>
    <w:p w:rsidR="001A4727" w:rsidRDefault="001A4727" w:rsidP="001A4727">
      <w:pPr>
        <w:spacing w:before="120"/>
      </w:pPr>
      <w:r>
        <w:t>The Court of Appeals first noted that "on its face, to hold that a missing 'd' in a debtor's first name renders a financing statement 'seriously misleading' seems harsh," and that the misspelling would seem to fall under K.S.A. 2003 Supp. 84-9-506(a) as a minor error or omission that would not have an impact on the effectiveness of the financing statement. The court, however, determined that the ultimate inquiry was "one of whether a reasonably diligent searcher would find the prior security interest." 33 Kan. App. 2d at 281.</w:t>
      </w:r>
    </w:p>
    <w:p w:rsidR="001A4727" w:rsidRDefault="001A4727" w:rsidP="001A4727">
      <w:pPr>
        <w:spacing w:before="120"/>
      </w:pPr>
      <w:r>
        <w:t xml:space="preserve">K.S.A. 2003 Supp. 84-9-506 states that a misspelling will not be considered seriously misleading if a search using the standard search logic, under the correct name, would turn up the financing statement. . . . The Court of Appeals agreed with CNB that "the only searches that would have produced the Pankratz prior security interest for 'Roger House' would have been completed on the temporary internet search logic." Using the "standard search logic" provided by the Secretary of State under the name Rodger House did not disclose the prior security interest of Pankratz. Thus, the Court of Appeals concluded that the filing under the misspelled name of Roger </w:t>
      </w:r>
      <w:r w:rsidR="00D8416C">
        <w:t xml:space="preserve">House was seriously misleading. . . . </w:t>
      </w:r>
    </w:p>
    <w:p w:rsidR="001A4727" w:rsidRDefault="001A4727" w:rsidP="001A4727">
      <w:pPr>
        <w:spacing w:before="120"/>
      </w:pPr>
      <w:r>
        <w:lastRenderedPageBreak/>
        <w:t>The Court of Appeals further discussed the minor error rule and determined that a search using the standard search logic under the debtor's correct name, Rodger House, would not disclose the prior security interest of Pankratz.  K.S.A. 2003 Supp. 84-9-506 places the burden on the filing creditor to list the debtor correctly. The searching creditor is under no obligation to conduct searches under variants of the debtor's name. Thus, the error could not be considered a minor error. The district court's summary judgment in favor of Pankratz was reversed, and the case was remanded with directions to enter judgment for CNB.</w:t>
      </w:r>
    </w:p>
    <w:p w:rsidR="001A4727" w:rsidRDefault="001A4727" w:rsidP="001A4727"/>
    <w:p w:rsidR="001A4727" w:rsidRDefault="001A4727" w:rsidP="001A4727">
      <w:r>
        <w:rPr>
          <w:b/>
          <w:bCs/>
        </w:rPr>
        <w:t>DISCUSSION AND ANALYSIS</w:t>
      </w:r>
    </w:p>
    <w:p w:rsidR="001A4727" w:rsidRDefault="001A4727" w:rsidP="001A4727"/>
    <w:p w:rsidR="001A4727" w:rsidRDefault="00D8416C" w:rsidP="001A4727">
      <w:r>
        <w:t xml:space="preserve">. . . . </w:t>
      </w:r>
      <w:r w:rsidR="001A4727">
        <w:t>The sole question presented for resolution on undisputed facts is one of law to be determined under recently enacted amendments to Article 9 of the UCC. . . . Although the general issue in this case has been litigated previously in Kansas courts, no Kansas court has addressed the issue since the Revised Article 9 became effective on July 1, 2001. Thus, the case presents an issue of first impression.</w:t>
      </w:r>
    </w:p>
    <w:p w:rsidR="001A4727" w:rsidRDefault="001A4727" w:rsidP="001A4727">
      <w:pPr>
        <w:spacing w:before="120"/>
      </w:pPr>
      <w:r>
        <w:t>Before addressing these contentions it is helpful to set forth the complete text of the two statutory amendments involved in this case:</w:t>
      </w:r>
    </w:p>
    <w:p w:rsidR="001A4727" w:rsidRDefault="001A4727" w:rsidP="001A4727">
      <w:pPr>
        <w:spacing w:before="120"/>
      </w:pPr>
      <w:r>
        <w:t>K.S.A. 2003 Supp. 84-9-503 provides:</w:t>
      </w:r>
    </w:p>
    <w:p w:rsidR="001A4727" w:rsidRDefault="001A4727" w:rsidP="001A4727">
      <w:pPr>
        <w:spacing w:before="120"/>
        <w:ind w:left="720"/>
      </w:pPr>
      <w:r>
        <w:t xml:space="preserve">"(a) </w:t>
      </w:r>
      <w:r>
        <w:rPr>
          <w:b/>
          <w:bCs/>
        </w:rPr>
        <w:t>Sufficiency of debtor's name.</w:t>
      </w:r>
      <w:r>
        <w:t xml:space="preserve"> A financing statement sufficiently provides the name of the debtor:</w:t>
      </w:r>
    </w:p>
    <w:p w:rsidR="001A4727" w:rsidRDefault="001A4727" w:rsidP="001A4727">
      <w:pPr>
        <w:spacing w:before="120"/>
        <w:ind w:left="720"/>
      </w:pPr>
      <w:r>
        <w:t>(1) If the debtor is a registered organization, only if the financing statement provides the name of the debtor indicated on the public record of the debtor's jurisdiction of organization which shows the debtor to have been organized;</w:t>
      </w:r>
    </w:p>
    <w:p w:rsidR="001A4727" w:rsidRDefault="001A4727" w:rsidP="001A4727">
      <w:pPr>
        <w:spacing w:before="120"/>
        <w:ind w:left="720"/>
      </w:pPr>
      <w:r>
        <w:t xml:space="preserve">(5) </w:t>
      </w:r>
      <w:r>
        <w:rPr>
          <w:i/>
          <w:iCs/>
        </w:rPr>
        <w:t>in other cases</w:t>
      </w:r>
      <w:r>
        <w:t>:</w:t>
      </w:r>
    </w:p>
    <w:p w:rsidR="001A4727" w:rsidRDefault="001A4727" w:rsidP="001A4727">
      <w:pPr>
        <w:spacing w:before="120"/>
        <w:ind w:left="720"/>
      </w:pPr>
      <w:r>
        <w:t xml:space="preserve">(A) </w:t>
      </w:r>
      <w:r>
        <w:rPr>
          <w:i/>
          <w:iCs/>
        </w:rPr>
        <w:t>If the debtor has a name, only if it provides the individual or organizational name of the debtor; and</w:t>
      </w:r>
    </w:p>
    <w:p w:rsidR="001A4727" w:rsidRDefault="001A4727" w:rsidP="001A4727">
      <w:pPr>
        <w:spacing w:before="120"/>
        <w:ind w:left="720"/>
      </w:pPr>
      <w:r>
        <w:t>(B) if the debtor does not have a name, only if it provides the names of the partners, members, associates, or other persons comprising the debtor." (Emphasis added.)</w:t>
      </w:r>
    </w:p>
    <w:p w:rsidR="001A4727" w:rsidRDefault="001A4727" w:rsidP="001A4727">
      <w:pPr>
        <w:spacing w:before="120"/>
      </w:pPr>
      <w:r>
        <w:t>K.S.A. 2003 Supp. 84-9-506 provides:</w:t>
      </w:r>
    </w:p>
    <w:p w:rsidR="001A4727" w:rsidRDefault="001A4727" w:rsidP="001A4727">
      <w:pPr>
        <w:spacing w:before="120"/>
        <w:ind w:left="720"/>
      </w:pPr>
      <w:r>
        <w:t xml:space="preserve">"(a) </w:t>
      </w:r>
      <w:r>
        <w:rPr>
          <w:b/>
          <w:bCs/>
        </w:rPr>
        <w:t>Minor errors and omissions.</w:t>
      </w:r>
      <w:r>
        <w:t xml:space="preserve"> A financing statement substantially satisfying the requirements of this part is effective, even if it has minor errors or omissions, unless the errors or omissions make the financing statement seriously misleading.</w:t>
      </w:r>
    </w:p>
    <w:p w:rsidR="001A4727" w:rsidRDefault="001A4727" w:rsidP="001A4727">
      <w:pPr>
        <w:spacing w:before="120"/>
        <w:ind w:left="720"/>
      </w:pPr>
      <w:r>
        <w:t xml:space="preserve">"(b) </w:t>
      </w:r>
      <w:r>
        <w:rPr>
          <w:b/>
          <w:bCs/>
        </w:rPr>
        <w:t>Financing statement seriously misleading.</w:t>
      </w:r>
      <w:r>
        <w:t xml:space="preserve"> Except as otherwise provided in subsection (c), a financing statement that fails sufficiently to provide the name of the debtor in accordance with K.S.A. 2003 Supp. 84-9-503(a) and amendments thereto, is seriously misleading.</w:t>
      </w:r>
    </w:p>
    <w:p w:rsidR="001A4727" w:rsidRDefault="001A4727" w:rsidP="001A4727">
      <w:pPr>
        <w:spacing w:before="120"/>
        <w:ind w:left="720"/>
      </w:pPr>
      <w:r>
        <w:t xml:space="preserve">"(c) </w:t>
      </w:r>
      <w:r>
        <w:rPr>
          <w:b/>
          <w:bCs/>
        </w:rPr>
        <w:t>Financing statement not seriously misleading.</w:t>
      </w:r>
      <w:r>
        <w:t xml:space="preserve"> If a search of the records of the filing office under the debtor's correct name, using the filing office's standard search logic, if any, would disclose a financing statement that fails sufficiently to provide the name of the debtor in accordance with K.S.A. 2003 Supp. 84-9-503(a) and amendments thereto, the name provided does not make the financing statement seriously misleading.</w:t>
      </w:r>
    </w:p>
    <w:p w:rsidR="001A4727" w:rsidRDefault="001A4727" w:rsidP="001A4727">
      <w:pPr>
        <w:spacing w:before="120"/>
      </w:pPr>
      <w:r>
        <w:t xml:space="preserve">. . . Our construction of the above statutes provides the following analysis under the facts of this case. </w:t>
      </w:r>
      <w:r w:rsidR="00D8416C">
        <w:t xml:space="preserve">A </w:t>
      </w:r>
      <w:r>
        <w:t>financing statement sufficiently provides the debtor's name only if the financial statement provides the individual name of the debtor. In this case, Pankratz used an incorrect name by misspelling the debtor's name in the financing statement. Pankratz argues that the misspelled name was only a minor error under K.S.A. 2003 Supp. 84-9-506(a) and was not seriously misleading.</w:t>
      </w:r>
    </w:p>
    <w:p w:rsidR="001A4727" w:rsidRDefault="001A4727" w:rsidP="001A4727">
      <w:pPr>
        <w:spacing w:before="120"/>
      </w:pPr>
      <w:r>
        <w:t xml:space="preserve">K.S.A. 2003 Supp. 84-9-506(a) provides that a financing statement "is effective, even if it has minor errors or omissions, unless the errors or omissions make the financing statement seriously misleading." Except as otherwise, a financing statement that fails sufficiently to provide the name of the debtor </w:t>
      </w:r>
      <w:r w:rsidR="00D8416C">
        <w:t xml:space="preserve">. . . </w:t>
      </w:r>
      <w:r>
        <w:t>is seriously misleading. Pankratz' use of the debtor's misspelled name failed to provide the individual name of the debtor in accord with K.S.A. 2003 Supp. 84-9-503(a); however, according to the safe harbor provisions of subsection 84-9-503(c), the error may not be seriously misleading.</w:t>
      </w:r>
    </w:p>
    <w:p w:rsidR="001A4727" w:rsidRDefault="001A4727" w:rsidP="001A4727">
      <w:pPr>
        <w:spacing w:before="120"/>
      </w:pPr>
      <w:r>
        <w:t>K.S.A. 2003 Supp. 84-9-506(c) provides that</w:t>
      </w:r>
    </w:p>
    <w:p w:rsidR="001A4727" w:rsidRDefault="001A4727" w:rsidP="001A4727">
      <w:pPr>
        <w:spacing w:before="120"/>
      </w:pPr>
      <w:r>
        <w:t xml:space="preserve">"if a search of the records of the filing office under the debtor's correct name, </w:t>
      </w:r>
      <w:r>
        <w:rPr>
          <w:i/>
          <w:iCs/>
        </w:rPr>
        <w:t xml:space="preserve">using the filing office's standard search logic, </w:t>
      </w:r>
      <w:r>
        <w:t>if any, would disclose a financing statement that fails sufficiently to provide the name of the debtor,</w:t>
      </w:r>
      <w:r w:rsidR="00D8416C">
        <w:t xml:space="preserve"> . . . </w:t>
      </w:r>
      <w:r>
        <w:t>the name provided does not make the financing statement seriously misleading." (Emphasis added.)</w:t>
      </w:r>
    </w:p>
    <w:p w:rsidR="001A4727" w:rsidRDefault="001A4727" w:rsidP="001A4727">
      <w:pPr>
        <w:spacing w:before="120"/>
      </w:pPr>
      <w:r>
        <w:t>Under such circumstances a search using the debtor's correct name would reveal the prior security interest of Pankratz with the misspelled debtor's name and its financing statement would not be seriously misleading.</w:t>
      </w:r>
    </w:p>
    <w:p w:rsidR="001A4727" w:rsidRDefault="001A4727" w:rsidP="001A4727">
      <w:pPr>
        <w:spacing w:before="120"/>
      </w:pPr>
      <w:r>
        <w:lastRenderedPageBreak/>
        <w:t xml:space="preserve">However, the undisputed facts in this case establish that a search under the debtor's correct name </w:t>
      </w:r>
      <w:r>
        <w:rPr>
          <w:i/>
          <w:iCs/>
        </w:rPr>
        <w:t>using the filing office's standard search logic</w:t>
      </w:r>
      <w:r>
        <w:t xml:space="preserve"> did not disclose Pankratz' financing statement with the debtor's misspelled name. . . . Thus, Pankratz' financing statement using the misspelled name of the debtor, while prior in time, was seriously misleading, causing the Court of Appeals to direct that judgment be entered for CNB.</w:t>
      </w:r>
    </w:p>
    <w:p w:rsidR="001A4727" w:rsidRDefault="001A4727" w:rsidP="001A4727">
      <w:pPr>
        <w:spacing w:before="120"/>
      </w:pPr>
      <w:r>
        <w:t xml:space="preserve">Our analysis involves a construction of the provisions of both statutes, </w:t>
      </w:r>
      <w:r>
        <w:rPr>
          <w:i/>
          <w:iCs/>
        </w:rPr>
        <w:t>in pari materia</w:t>
      </w:r>
      <w:r>
        <w:t>, and leads us to the conclusion that Pankratz' filed financing statement was seriously misleading, confirming the Court of Appeals decision. We could end our discussion and conclude that the expressed provisions of the law support the decision of the Court of Appeals. . . . The object of Pankratz' arguments is to place upon the party claiming a superior lien the responsibility to conduct a diligent search of past records filed with the Secretary of State to determine whether a prior lien exists. If the name requirements of the debtor are not fixed and certain, the use of a nickname or a misspelled name on the financing statement filed with the Secretary of State may require just such a search on the part of the party claiming a superior lien. . . .</w:t>
      </w:r>
    </w:p>
    <w:p w:rsidR="001A4727" w:rsidRDefault="001A4727" w:rsidP="001A4727">
      <w:pPr>
        <w:spacing w:before="120"/>
      </w:pPr>
      <w:r>
        <w:t>Pankratz failed to satisfy the requirement of using the correct name of the debtor and thus did not satisfy the name requirements of 84-9-503(a)(5)(A). Nevertheless, minor errors will not destroy the effectiveness of that statement unless the errors make the statement seriously misleading. Pankratz' failing to meet the naming requirements is seriously misleading except in the case where a search using the debtor's correct name discloses the defective financing statement. In this case it did not and therefore remains seriously misleading. . . .</w:t>
      </w:r>
    </w:p>
    <w:p w:rsidR="001A4727" w:rsidRDefault="001A4727" w:rsidP="001A4727">
      <w:pPr>
        <w:spacing w:before="120"/>
      </w:pPr>
      <w:r>
        <w:t>The decision of the Court of Appeals reversing the district court is affirmed. The decision of the district court is reversed, and the case is remanded to enter summary judgment on behalf of Citizens National Bank.</w:t>
      </w:r>
    </w:p>
    <w:p w:rsidR="001A4727" w:rsidRDefault="001A4727" w:rsidP="001A4727">
      <w:pPr>
        <w:spacing w:before="120"/>
      </w:pPr>
      <w:r>
        <w:t>Affirmed.</w:t>
      </w:r>
    </w:p>
    <w:p w:rsidR="001A4727" w:rsidRDefault="001A4727" w:rsidP="001A4727">
      <w:pPr>
        <w:spacing w:before="120"/>
      </w:pPr>
      <w:r>
        <w:t>LOCKETT, J., Retired, assigned.</w:t>
      </w:r>
    </w:p>
    <w:p w:rsidR="0099620F" w:rsidRDefault="0099620F" w:rsidP="0099620F">
      <w:pPr>
        <w:spacing w:after="160" w:line="259" w:lineRule="auto"/>
        <w:jc w:val="center"/>
      </w:pPr>
    </w:p>
    <w:p w:rsidR="0099620F" w:rsidRDefault="0099620F">
      <w:pPr>
        <w:spacing w:after="160" w:line="259" w:lineRule="auto"/>
        <w:rPr>
          <w:bCs/>
        </w:rPr>
      </w:pPr>
      <w:r>
        <w:rPr>
          <w:bCs/>
        </w:rPr>
        <w:br w:type="page"/>
      </w:r>
    </w:p>
    <w:p w:rsidR="00032A5B" w:rsidRPr="00FA778D" w:rsidRDefault="00032A5B" w:rsidP="00032A5B">
      <w:pPr>
        <w:spacing w:before="120"/>
        <w:jc w:val="center"/>
        <w:rPr>
          <w:bCs/>
        </w:rPr>
      </w:pPr>
      <w:r w:rsidRPr="00FA778D">
        <w:rPr>
          <w:bCs/>
        </w:rPr>
        <w:lastRenderedPageBreak/>
        <w:t xml:space="preserve">William J. McGowen and Marilyn McGowen v. Nebraska State Bank, a </w:t>
      </w:r>
      <w:smartTag w:uri="urn:schemas-microsoft-com:office:smarttags" w:element="place">
        <w:smartTag w:uri="urn:schemas-microsoft-com:office:smarttags" w:element="State">
          <w:r w:rsidRPr="00FA778D">
            <w:rPr>
              <w:bCs/>
            </w:rPr>
            <w:t>Nebraska</w:t>
          </w:r>
        </w:smartTag>
      </w:smartTag>
      <w:r>
        <w:rPr>
          <w:bCs/>
        </w:rPr>
        <w:t xml:space="preserve"> banking corporation</w:t>
      </w:r>
    </w:p>
    <w:p w:rsidR="00032A5B" w:rsidRPr="00FA778D" w:rsidRDefault="00032A5B" w:rsidP="00032A5B">
      <w:pPr>
        <w:rPr>
          <w:bCs/>
        </w:rPr>
      </w:pPr>
    </w:p>
    <w:p w:rsidR="00032A5B" w:rsidRPr="00FA778D" w:rsidRDefault="00032A5B" w:rsidP="00032A5B">
      <w:pPr>
        <w:ind w:left="1200" w:right="1200"/>
        <w:jc w:val="center"/>
        <w:rPr>
          <w:bCs/>
        </w:rPr>
      </w:pPr>
      <w:r w:rsidRPr="00FA778D">
        <w:rPr>
          <w:bCs/>
        </w:rPr>
        <w:t xml:space="preserve">Supreme Court </w:t>
      </w:r>
      <w:r>
        <w:rPr>
          <w:bCs/>
        </w:rPr>
        <w:t>o</w:t>
      </w:r>
      <w:r w:rsidRPr="00FA778D">
        <w:rPr>
          <w:bCs/>
        </w:rPr>
        <w:t xml:space="preserve">f </w:t>
      </w:r>
      <w:smartTag w:uri="urn:schemas-microsoft-com:office:smarttags" w:element="place">
        <w:smartTag w:uri="urn:schemas-microsoft-com:office:smarttags" w:element="State">
          <w:r w:rsidRPr="00FA778D">
            <w:rPr>
              <w:bCs/>
            </w:rPr>
            <w:t>Nebraska</w:t>
          </w:r>
        </w:smartTag>
      </w:smartTag>
    </w:p>
    <w:p w:rsidR="00032A5B" w:rsidRPr="00FA778D" w:rsidRDefault="00032A5B" w:rsidP="00032A5B">
      <w:pPr>
        <w:rPr>
          <w:bCs/>
        </w:rPr>
      </w:pPr>
    </w:p>
    <w:p w:rsidR="00032A5B" w:rsidRPr="00FA778D" w:rsidRDefault="00032A5B" w:rsidP="00032A5B">
      <w:pPr>
        <w:ind w:left="1200" w:right="1200"/>
        <w:jc w:val="center"/>
        <w:rPr>
          <w:bCs/>
        </w:rPr>
      </w:pPr>
      <w:r w:rsidRPr="00FA778D">
        <w:rPr>
          <w:bCs/>
        </w:rPr>
        <w:t xml:space="preserve">229 </w:t>
      </w:r>
      <w:smartTag w:uri="urn:schemas-microsoft-com:office:smarttags" w:element="place">
        <w:smartTag w:uri="urn:schemas-microsoft-com:office:smarttags" w:element="State">
          <w:r w:rsidRPr="00FA778D">
            <w:rPr>
              <w:bCs/>
            </w:rPr>
            <w:t>Neb.</w:t>
          </w:r>
        </w:smartTag>
      </w:smartTag>
      <w:r w:rsidRPr="00FA778D">
        <w:rPr>
          <w:bCs/>
        </w:rPr>
        <w:t xml:space="preserve"> 471</w:t>
      </w:r>
    </w:p>
    <w:p w:rsidR="00032A5B" w:rsidRPr="00FA778D" w:rsidRDefault="00032A5B" w:rsidP="00032A5B">
      <w:pPr>
        <w:ind w:left="1200" w:right="1200"/>
        <w:jc w:val="center"/>
        <w:rPr>
          <w:bCs/>
        </w:rPr>
      </w:pPr>
    </w:p>
    <w:p w:rsidR="00032A5B" w:rsidRPr="00FA778D" w:rsidRDefault="00032A5B" w:rsidP="00032A5B">
      <w:pPr>
        <w:ind w:left="1200" w:right="1200"/>
        <w:jc w:val="center"/>
        <w:rPr>
          <w:bCs/>
        </w:rPr>
      </w:pPr>
      <w:smartTag w:uri="urn:schemas-microsoft-com:office:smarttags" w:element="date">
        <w:smartTagPr>
          <w:attr w:name="Year" w:val="1988"/>
          <w:attr w:name="Day" w:val="12"/>
          <w:attr w:name="Month" w:val="8"/>
          <w:attr w:name="ls" w:val="trans"/>
        </w:smartTagPr>
        <w:r w:rsidRPr="00FA778D">
          <w:rPr>
            <w:bCs/>
          </w:rPr>
          <w:t>August 12, 1988</w:t>
        </w:r>
      </w:smartTag>
      <w:r w:rsidRPr="00FA778D">
        <w:rPr>
          <w:bCs/>
        </w:rPr>
        <w:t xml:space="preserve">, Filed </w:t>
      </w:r>
    </w:p>
    <w:p w:rsidR="00032A5B" w:rsidRPr="00FA778D" w:rsidRDefault="00032A5B" w:rsidP="00032A5B">
      <w:pPr>
        <w:rPr>
          <w:bCs/>
        </w:rPr>
      </w:pPr>
    </w:p>
    <w:p w:rsidR="00032A5B" w:rsidRPr="00FA778D" w:rsidRDefault="00032A5B" w:rsidP="00032A5B"/>
    <w:p w:rsidR="00032A5B" w:rsidRPr="00FA778D" w:rsidRDefault="00032A5B" w:rsidP="00032A5B">
      <w:r w:rsidRPr="00FA778D">
        <w:rPr>
          <w:bCs/>
        </w:rPr>
        <w:t xml:space="preserve">JUDGES: </w:t>
      </w:r>
      <w:r w:rsidRPr="00FA778D">
        <w:t xml:space="preserve">Hastings, C.J., Boslaugh, White, Caporale, Shanahan, Grant, and Fahrnbruch, JJ.  </w:t>
      </w:r>
    </w:p>
    <w:p w:rsidR="00032A5B" w:rsidRPr="00FA778D" w:rsidRDefault="00032A5B" w:rsidP="00032A5B"/>
    <w:p w:rsidR="00032A5B" w:rsidRPr="00FA778D" w:rsidRDefault="00032A5B" w:rsidP="00032A5B">
      <w:r w:rsidRPr="00FA778D">
        <w:rPr>
          <w:bCs/>
        </w:rPr>
        <w:t xml:space="preserve">OPINION BY: </w:t>
      </w:r>
      <w:r w:rsidRPr="00FA778D">
        <w:t xml:space="preserve"> WHITE </w:t>
      </w:r>
    </w:p>
    <w:p w:rsidR="00032A5B" w:rsidRDefault="00032A5B" w:rsidP="00032A5B">
      <w:pPr>
        <w:spacing w:before="120"/>
      </w:pPr>
      <w:r>
        <w:t xml:space="preserve">This case involves a dispute between a senior secured creditor, Nebraska State Bank (hereafter NSB), and a junior lienholder, William and Marilyn McGowen, both NSB and McGowens having secured interests in certain cattle owned by debtor/farmer Paul High.  The McGowens filed a petition in the district court for </w:t>
      </w:r>
      <w:smartTag w:uri="urn:schemas-microsoft-com:office:smarttags" w:element="place">
        <w:smartTag w:uri="urn:schemas-microsoft-com:office:smarttags" w:element="PlaceName">
          <w:r>
            <w:t>Dakota</w:t>
          </w:r>
        </w:smartTag>
        <w:r>
          <w:t xml:space="preserve"> </w:t>
        </w:r>
        <w:smartTag w:uri="urn:schemas-microsoft-com:office:smarttags" w:element="PlaceType">
          <w:r>
            <w:t>County</w:t>
          </w:r>
        </w:smartTag>
      </w:smartTag>
      <w:r>
        <w:t xml:space="preserve"> alleging that NSB had wrongfully converted certain livestock in which the McGowens held a perfected security interest.</w:t>
      </w:r>
    </w:p>
    <w:p w:rsidR="00032A5B" w:rsidRDefault="00032A5B" w:rsidP="00032A5B">
      <w:pPr>
        <w:spacing w:before="120"/>
      </w:pPr>
      <w:r>
        <w:t xml:space="preserve">Pursuant to a stipulation of the parties, the trial was bifurcated on the issue of liability and the issue of damages.  The trial was before a jury, and most of the evidence was presented  by stipulation.  The stipulated facts are as follows.  On or about </w:t>
      </w:r>
      <w:smartTag w:uri="urn:schemas-microsoft-com:office:smarttags" w:element="date">
        <w:smartTagPr>
          <w:attr w:name="Year" w:val="1980"/>
          <w:attr w:name="Day" w:val="8"/>
          <w:attr w:name="Month" w:val="10"/>
          <w:attr w:name="ls" w:val="trans"/>
        </w:smartTagPr>
        <w:r>
          <w:t>October 8, 1980</w:t>
        </w:r>
      </w:smartTag>
      <w:r>
        <w:t xml:space="preserve">, the McGowens sold to Paul High various items of personal property and livestock. An exact list of these items was incorporated into a purchase agreement dated </w:t>
      </w:r>
      <w:smartTag w:uri="urn:schemas-microsoft-com:office:smarttags" w:element="date">
        <w:smartTagPr>
          <w:attr w:name="Year" w:val="1980"/>
          <w:attr w:name="Day" w:val="8"/>
          <w:attr w:name="Month" w:val="10"/>
          <w:attr w:name="ls" w:val="trans"/>
        </w:smartTagPr>
        <w:r>
          <w:t>October 8, 1980</w:t>
        </w:r>
      </w:smartTag>
      <w:r>
        <w:t>.  In that agreement High granted the McGowens a security interest in that personal property and livestock.</w:t>
      </w:r>
    </w:p>
    <w:p w:rsidR="00032A5B" w:rsidRDefault="00032A5B" w:rsidP="00032A5B">
      <w:pPr>
        <w:spacing w:before="120"/>
      </w:pPr>
      <w:r>
        <w:t xml:space="preserve">On </w:t>
      </w:r>
      <w:smartTag w:uri="urn:schemas-microsoft-com:office:smarttags" w:element="date">
        <w:smartTagPr>
          <w:attr w:name="Year" w:val="1980"/>
          <w:attr w:name="Day" w:val="18"/>
          <w:attr w:name="Month" w:val="12"/>
          <w:attr w:name="ls" w:val="trans"/>
        </w:smartTagPr>
        <w:r>
          <w:t>December 18, 1980</w:t>
        </w:r>
      </w:smartTag>
      <w:r>
        <w:t xml:space="preserve">, High granted to NSB, as consideration for a promissory note in the amount of $86,695.76 executed on that date, a security interest in all his farm products,  including but not limited to all of his livestock, i.e., all of his cattle, hogs, etc.  By </w:t>
      </w:r>
      <w:smartTag w:uri="urn:schemas-microsoft-com:office:smarttags" w:element="date">
        <w:smartTagPr>
          <w:attr w:name="Year" w:val="1984"/>
          <w:attr w:name="Day" w:val="5"/>
          <w:attr w:name="Month" w:val="9"/>
          <w:attr w:name="ls" w:val="trans"/>
        </w:smartTagPr>
        <w:r>
          <w:t>September 5, 1984</w:t>
        </w:r>
      </w:smartTag>
      <w:r>
        <w:t>, High's total indebtedness to NSB apparently amounted to $372,341.95.</w:t>
      </w:r>
    </w:p>
    <w:p w:rsidR="00032A5B" w:rsidRDefault="00032A5B" w:rsidP="00032A5B">
      <w:pPr>
        <w:spacing w:before="120"/>
      </w:pPr>
      <w:r>
        <w:t xml:space="preserve">NSB perfected its security interest by filing a financing statement with the county clerk in </w:t>
      </w:r>
      <w:smartTag w:uri="urn:schemas-microsoft-com:office:smarttags" w:element="place">
        <w:smartTag w:uri="urn:schemas-microsoft-com:office:smarttags" w:element="PlaceName">
          <w:r>
            <w:t>Dakota</w:t>
          </w:r>
        </w:smartTag>
        <w:r>
          <w:t xml:space="preserve"> </w:t>
        </w:r>
        <w:smartTag w:uri="urn:schemas-microsoft-com:office:smarttags" w:element="PlaceType">
          <w:r>
            <w:t>County</w:t>
          </w:r>
        </w:smartTag>
      </w:smartTag>
      <w:r>
        <w:t xml:space="preserve"> on </w:t>
      </w:r>
      <w:smartTag w:uri="urn:schemas-microsoft-com:office:smarttags" w:element="date">
        <w:smartTagPr>
          <w:attr w:name="Year" w:val="1980"/>
          <w:attr w:name="Day" w:val="20"/>
          <w:attr w:name="Month" w:val="12"/>
          <w:attr w:name="ls" w:val="trans"/>
        </w:smartTagPr>
        <w:r>
          <w:t>December 20, 1980</w:t>
        </w:r>
      </w:smartTag>
      <w:r>
        <w:t xml:space="preserve">.  The McGowens perfected their security interest by filing a financing statement and security agreement with the county clerk on </w:t>
      </w:r>
      <w:smartTag w:uri="urn:schemas-microsoft-com:office:smarttags" w:element="date">
        <w:smartTagPr>
          <w:attr w:name="Year" w:val="1981"/>
          <w:attr w:name="Day" w:val="28"/>
          <w:attr w:name="Month" w:val="4"/>
          <w:attr w:name="ls" w:val="trans"/>
        </w:smartTagPr>
        <w:r>
          <w:t>April 28, 1981</w:t>
        </w:r>
      </w:smartTag>
      <w:r>
        <w:t>.</w:t>
      </w:r>
    </w:p>
    <w:p w:rsidR="00032A5B" w:rsidRDefault="00032A5B" w:rsidP="00032A5B">
      <w:pPr>
        <w:spacing w:before="120"/>
      </w:pPr>
      <w:r>
        <w:t xml:space="preserve">High defaulted on the purchase agreement entered into with the McGowens and also defaulted on his obligations to NSB.  In September of 1984, NSB repossessed and sold 97 head of cattle owned by High.  The cattle were sold on </w:t>
      </w:r>
      <w:smartTag w:uri="urn:schemas-microsoft-com:office:smarttags" w:element="date">
        <w:smartTagPr>
          <w:attr w:name="Year" w:val="1984"/>
          <w:attr w:name="Day" w:val="25"/>
          <w:attr w:name="Month" w:val="9"/>
          <w:attr w:name="ls" w:val="trans"/>
        </w:smartTagPr>
        <w:r>
          <w:t>September 25, 1984</w:t>
        </w:r>
      </w:smartTag>
      <w:r>
        <w:t xml:space="preserve">, at Bleil-Chapman Livestock Auction Company in </w:t>
      </w:r>
      <w:smartTag w:uri="urn:schemas-microsoft-com:office:smarttags" w:element="place">
        <w:smartTag w:uri="urn:schemas-microsoft-com:office:smarttags" w:element="City">
          <w:r>
            <w:t>Moville</w:t>
          </w:r>
        </w:smartTag>
        <w:r>
          <w:t xml:space="preserve">, </w:t>
        </w:r>
        <w:smartTag w:uri="urn:schemas-microsoft-com:office:smarttags" w:element="State">
          <w:r>
            <w:t>Iowa</w:t>
          </w:r>
        </w:smartTag>
      </w:smartTag>
      <w:r>
        <w:t>, for a total sales price of $28,956.01, with net proceeds of $27,872.29 after expenses.  After application of the cattle sale proceeds, and other proceeds not involved in this suit, to High's debt to NSB, the remaining obligation amounted to $314,046.46.</w:t>
      </w:r>
    </w:p>
    <w:p w:rsidR="00032A5B" w:rsidRDefault="00032A5B" w:rsidP="00032A5B">
      <w:pPr>
        <w:spacing w:before="120"/>
      </w:pPr>
      <w:r>
        <w:t xml:space="preserve">NSB had notice and knowledge of the McGowen security interest from and after March 1984.  On </w:t>
      </w:r>
      <w:smartTag w:uri="urn:schemas-microsoft-com:office:smarttags" w:element="date">
        <w:smartTagPr>
          <w:attr w:name="Year" w:val="1984"/>
          <w:attr w:name="Day" w:val="25"/>
          <w:attr w:name="Month" w:val="9"/>
          <w:attr w:name="ls" w:val="trans"/>
        </w:smartTagPr>
        <w:r>
          <w:t>September 25, 1984</w:t>
        </w:r>
      </w:smartTag>
      <w:r>
        <w:t>, the date of repossession and sale of the cattle, each of the parties to this suit had a valid and existing security interest in the repossessed collateral.</w:t>
      </w:r>
    </w:p>
    <w:p w:rsidR="00032A5B" w:rsidRDefault="00032A5B" w:rsidP="00032A5B">
      <w:pPr>
        <w:spacing w:before="120"/>
      </w:pPr>
      <w:r>
        <w:t>It was further stipulated that at no time prior to the sale of the cattle did NSB give notice of the repossession or sale to the McGowens.  Neb. U.C.C. § 9-504(3) (Reissue 1980) requires a secured creditor to notify "any other secured party" of the intended disposition of repossessed collateral, except in certain circumstances not applicable to this case.</w:t>
      </w:r>
    </w:p>
    <w:p w:rsidR="00032A5B" w:rsidRDefault="00032A5B" w:rsidP="00032A5B">
      <w:pPr>
        <w:spacing w:before="120"/>
      </w:pPr>
      <w:r>
        <w:t>Following the reading of the stipulated facts to the jury, plaintiffs-appellees, McGowens, moved for a directed verdict on the issue of liability.  The court sustained the motion and found, as a matter of law, that NSB failed to give notification of the sale to the McGowens, as required by law.</w:t>
      </w:r>
    </w:p>
    <w:p w:rsidR="00032A5B" w:rsidRDefault="00032A5B" w:rsidP="00032A5B">
      <w:pPr>
        <w:spacing w:before="120"/>
      </w:pPr>
      <w:r>
        <w:t xml:space="preserve">The only issue submitted to the jury and the only issue before this court on appeal is that of damages. . . . </w:t>
      </w:r>
    </w:p>
    <w:p w:rsidR="00032A5B" w:rsidRDefault="00032A5B" w:rsidP="00032A5B">
      <w:pPr>
        <w:spacing w:before="120"/>
      </w:pPr>
      <w:r>
        <w:t>The questions presented on appeal require this court to address a narrow issue relating to the measure of damages in cases involving the "any loss" provision of Neb. U.C.C. § 9-507(1) (Reissue 1980).  Section 9-507(1) provides, in relevant part:</w:t>
      </w:r>
    </w:p>
    <w:p w:rsidR="00032A5B" w:rsidRDefault="00032A5B" w:rsidP="00032A5B"/>
    <w:p w:rsidR="00032A5B" w:rsidRPr="00FA778D" w:rsidRDefault="00032A5B" w:rsidP="00032A5B">
      <w:pPr>
        <w:ind w:left="600" w:right="600"/>
        <w:rPr>
          <w:sz w:val="16"/>
          <w:szCs w:val="16"/>
        </w:rPr>
      </w:pPr>
      <w:r>
        <w:rPr>
          <w:sz w:val="16"/>
          <w:szCs w:val="16"/>
        </w:rPr>
        <w:t xml:space="preserve">If the disposition has occurred the debtor or any person entitled to notification or whose security interest has been made known to the secured party prior to the disposition has a </w:t>
      </w:r>
      <w:r>
        <w:rPr>
          <w:i/>
          <w:iCs/>
          <w:sz w:val="16"/>
          <w:szCs w:val="16"/>
        </w:rPr>
        <w:t>right to recover</w:t>
      </w:r>
      <w:r>
        <w:rPr>
          <w:sz w:val="16"/>
          <w:szCs w:val="16"/>
        </w:rPr>
        <w:t xml:space="preserve"> from the secured party </w:t>
      </w:r>
      <w:r>
        <w:rPr>
          <w:i/>
          <w:iCs/>
          <w:sz w:val="16"/>
          <w:szCs w:val="16"/>
        </w:rPr>
        <w:t>any loss</w:t>
      </w:r>
      <w:r>
        <w:rPr>
          <w:sz w:val="16"/>
          <w:szCs w:val="16"/>
        </w:rPr>
        <w:t xml:space="preserve"> caused by a failure to comply with the provisions of this part.  </w:t>
      </w:r>
      <w:r w:rsidRPr="00FA778D">
        <w:rPr>
          <w:sz w:val="16"/>
          <w:szCs w:val="16"/>
        </w:rPr>
        <w:t>(Emphasis supplied.)</w:t>
      </w:r>
    </w:p>
    <w:p w:rsidR="00032A5B" w:rsidRDefault="00032A5B" w:rsidP="00032A5B">
      <w:pPr>
        <w:spacing w:before="120"/>
      </w:pPr>
      <w:r>
        <w:t>Following the court's finding of liability on the part of NSB, the issue of damages was submitted to the jury.  Evidence was presented to the jury on the issue of "whether or not [the McGowens] sustained any loss or any damage as a result of the failure [of NSB to give notice], and if they did, the amount of  such loss." At the close of all the evidence the jury was instructed by the court, deliberated, and returned a verdict in favor of the McGowens in the amount of $14,000.</w:t>
      </w:r>
    </w:p>
    <w:p w:rsidR="00032A5B" w:rsidRDefault="00032A5B" w:rsidP="00032A5B">
      <w:pPr>
        <w:spacing w:before="120"/>
      </w:pPr>
      <w:r>
        <w:lastRenderedPageBreak/>
        <w:t>At trial and on appeal, McGowens argue that they were damaged by the failure of notice because they were deprived of the profit they could have realized by buying the livestock themselves at the sale and subsequently reselling it at a higher price.  William McGowen testified at trial that the cattle, which sold for $28,956, were in fact worth approximately $50,000.  McGowen testified as an expert based on some 30 years' experience as a farmer engaged in raising and selling cattle and pigs.  In his opinion, auctions are generally used as a quick way to get rid of cattle and do not produce the best price when selling a herd.  McGowen testified that if he had been notified of the sale, he would have tried "[t]o stop the sale . . . and if I couldn't do that I would have tried to buy them back."</w:t>
      </w:r>
    </w:p>
    <w:p w:rsidR="00032A5B" w:rsidRDefault="00032A5B" w:rsidP="00032A5B">
      <w:pPr>
        <w:spacing w:before="120"/>
      </w:pPr>
      <w:r>
        <w:t>The court instructed the jury on plaintiffs' theory of the damages issue.  The instruction read in part:</w:t>
      </w:r>
    </w:p>
    <w:p w:rsidR="00032A5B" w:rsidRDefault="00032A5B" w:rsidP="00032A5B"/>
    <w:p w:rsidR="00032A5B" w:rsidRDefault="00032A5B" w:rsidP="00032A5B">
      <w:pPr>
        <w:ind w:left="600" w:right="600"/>
      </w:pPr>
      <w:r>
        <w:rPr>
          <w:sz w:val="16"/>
          <w:szCs w:val="16"/>
        </w:rPr>
        <w:t>The plaintiffs claim that by reason of not receiving notice, they were deprived of the opportunity to attend the sale and purchase the cattle, claiming that they were worth more than the sale price, and that they could have made an advantageous purchase, and that they were therefore damaged to the extent of the profit they could have made.</w:t>
      </w:r>
    </w:p>
    <w:p w:rsidR="00032A5B" w:rsidRDefault="00032A5B" w:rsidP="00032A5B">
      <w:pPr>
        <w:spacing w:before="120"/>
      </w:pPr>
      <w:r>
        <w:t>Appellant, NSB, argues that the "any loss" provision of § 9-507(1) must be read in conjunction with Neb. U.C.C. § 9-312 (Cum. Supp. 1984) and § 9-504, the result being that the McGowens have, as a matter of law, sustained no loss.  We agree with appellant's position.</w:t>
      </w:r>
    </w:p>
    <w:p w:rsidR="00032A5B" w:rsidRDefault="00032A5B" w:rsidP="00032A5B">
      <w:pPr>
        <w:spacing w:before="120"/>
      </w:pPr>
      <w:r>
        <w:t>As appellant points out, § 9-507(1) does not exist in a vacuum.  That section must be read with reference to the other provisions of Neb. U.C.C. art. 9 (Reissue 1980 &amp; Cum. Supp. 1984).  Statutes relating to the same subject are in pari materia and should be construed together.</w:t>
      </w:r>
    </w:p>
    <w:p w:rsidR="00032A5B" w:rsidRDefault="00032A5B" w:rsidP="00032A5B">
      <w:pPr>
        <w:spacing w:before="120"/>
      </w:pPr>
      <w:r>
        <w:t xml:space="preserve">Section 9-312(5) contains the first-to-file rule governing priority between conflicting security interests in the same collateral. A fundamental rule of article 9 and its notice filing system is that when a conflict exists between security interests in the same collateral, and the security interests were perfected by filing, the first in time to file a financing statement has priority. </w:t>
      </w:r>
    </w:p>
    <w:p w:rsidR="00032A5B" w:rsidRDefault="00032A5B" w:rsidP="00032A5B">
      <w:pPr>
        <w:spacing w:before="120"/>
      </w:pPr>
      <w:r>
        <w:t>Section 9-504(1) establishes the order in which proceeds are distributed upon the disposition of collateral pledged under article 9.  Section 9-504(1) establishes that</w:t>
      </w:r>
    </w:p>
    <w:p w:rsidR="00032A5B" w:rsidRDefault="00032A5B" w:rsidP="00032A5B"/>
    <w:p w:rsidR="00032A5B" w:rsidRDefault="00032A5B" w:rsidP="00032A5B">
      <w:pPr>
        <w:ind w:left="600" w:right="600"/>
        <w:rPr>
          <w:sz w:val="16"/>
          <w:szCs w:val="16"/>
        </w:rPr>
      </w:pPr>
      <w:r>
        <w:rPr>
          <w:sz w:val="16"/>
          <w:szCs w:val="16"/>
        </w:rPr>
        <w:t>[t]he proceeds of disposition shall be applied in the order following to</w:t>
      </w:r>
    </w:p>
    <w:p w:rsidR="00032A5B" w:rsidRDefault="00032A5B" w:rsidP="00032A5B">
      <w:pPr>
        <w:spacing w:before="120"/>
        <w:ind w:left="600" w:right="600"/>
        <w:rPr>
          <w:sz w:val="16"/>
          <w:szCs w:val="16"/>
        </w:rPr>
      </w:pPr>
      <w:r>
        <w:rPr>
          <w:sz w:val="16"/>
          <w:szCs w:val="16"/>
        </w:rPr>
        <w:t>(a) the reasonable expenses of retaking, holding, preparing for sale or lease, selling, leasing, and the like and, to the extent provided for in the agreement, the reasonable attorney's fees and legal expenses incurred by the secured party;</w:t>
      </w:r>
    </w:p>
    <w:p w:rsidR="00032A5B" w:rsidRDefault="00032A5B" w:rsidP="00032A5B">
      <w:pPr>
        <w:spacing w:before="120"/>
        <w:ind w:left="600" w:right="600"/>
        <w:rPr>
          <w:sz w:val="16"/>
          <w:szCs w:val="16"/>
        </w:rPr>
      </w:pPr>
      <w:r>
        <w:rPr>
          <w:sz w:val="16"/>
          <w:szCs w:val="16"/>
        </w:rPr>
        <w:t>(b) the satisfaction of indebtedness secured by the security interest under which the disposition is made;</w:t>
      </w:r>
    </w:p>
    <w:p w:rsidR="00032A5B" w:rsidRPr="00FA778D" w:rsidRDefault="00032A5B" w:rsidP="00032A5B">
      <w:pPr>
        <w:spacing w:before="120"/>
        <w:ind w:left="600" w:right="600"/>
        <w:rPr>
          <w:sz w:val="16"/>
          <w:szCs w:val="16"/>
        </w:rPr>
      </w:pPr>
      <w:r>
        <w:rPr>
          <w:sz w:val="16"/>
          <w:szCs w:val="16"/>
        </w:rPr>
        <w:t xml:space="preserve">(c) the </w:t>
      </w:r>
      <w:r>
        <w:rPr>
          <w:i/>
          <w:iCs/>
          <w:sz w:val="16"/>
          <w:szCs w:val="16"/>
        </w:rPr>
        <w:t>satisfaction of indebtedness secured by any subordinate security interest</w:t>
      </w:r>
      <w:r>
        <w:rPr>
          <w:sz w:val="16"/>
          <w:szCs w:val="16"/>
        </w:rPr>
        <w:t xml:space="preserve"> in the collateral if written notification or demand therefor is received before distribution of the proceeds is completed.  If requested by the secured party, the holder of a subordinate security interest must seasonably furnish reasonable proof of his interest, and unless he does so, the secured party need not comply with his demand. </w:t>
      </w:r>
      <w:r w:rsidRPr="00FA778D">
        <w:rPr>
          <w:sz w:val="16"/>
          <w:szCs w:val="16"/>
        </w:rPr>
        <w:t xml:space="preserve"> (Emphasis supplied.)</w:t>
      </w:r>
    </w:p>
    <w:p w:rsidR="00032A5B" w:rsidRDefault="00032A5B" w:rsidP="00032A5B">
      <w:pPr>
        <w:spacing w:before="120"/>
      </w:pPr>
      <w:r>
        <w:t>It is clear from the stipulated facts at trial that NSB filed its financing statement a full 4 months prior to the McGowens' filing.  Pursuant to § 9-312(5), NSB's security interest in the cattle is paramount and superior to that of the McGowens.  The trial court made such a finding, albeit implicit, when it instructed the jury that "as a matter of law . . . the defendant had a prior or first security interest in the cattle."</w:t>
      </w:r>
    </w:p>
    <w:p w:rsidR="00032A5B" w:rsidRDefault="00032A5B" w:rsidP="00032A5B">
      <w:pPr>
        <w:spacing w:before="120"/>
      </w:pPr>
      <w:r>
        <w:t>Given NSB's superior lien position, § 9-504(1) entitles NSB to credit the amounts realized from the sale to the satisfaction of High's indebtedness to NSB.  The "satisfaction of [any] indebtedness secured by any subordinate security interest" is last in priority for distribution of the sale proceeds.  If those proceeds are insufficient to satisfy the senior secured party's lien, the junior lienholder takes nothing.</w:t>
      </w:r>
    </w:p>
    <w:p w:rsidR="00032A5B" w:rsidRDefault="00032A5B" w:rsidP="00032A5B">
      <w:pPr>
        <w:spacing w:before="120"/>
      </w:pPr>
      <w:r>
        <w:t>We hold that the "loss" envisioned by § 9-507(1), as to junior lienholders, refers to the loss of any surplus proceeds due to an improper disposition of the collateral. Surplus proceeds in this case means the difference between the fair market value of the collateral, if sold at a proper sale, and the amount required to satisfy the senior lien. Thus, a junior lienholder can only be said to suffer a loss due to lack of notice if a commercially reasonable sale would have produced an amount in excess of the senior lien.</w:t>
      </w:r>
    </w:p>
    <w:p w:rsidR="00032A5B" w:rsidRDefault="00032A5B" w:rsidP="00032A5B">
      <w:pPr>
        <w:spacing w:before="120"/>
      </w:pPr>
      <w:r>
        <w:t xml:space="preserve">Our position finds support in the minimal case law and commentary existing on conflicts arising under § 9-507(1) between junior and senior lienholders.  In </w:t>
      </w:r>
      <w:r>
        <w:rPr>
          <w:i/>
          <w:iCs/>
        </w:rPr>
        <w:t>Food City, Inc. v. Fleming Companies, Inc.</w:t>
      </w:r>
      <w:r>
        <w:t xml:space="preserve">, 590 S.W.2d 754 (Tex. Civ. App. 1979), and </w:t>
      </w:r>
      <w:r>
        <w:rPr>
          <w:i/>
          <w:iCs/>
        </w:rPr>
        <w:t>Young v. Golden State Bank</w:t>
      </w:r>
      <w:r>
        <w:t xml:space="preserve">, 41 Colo. App. 480 (1978), the courts held that the junior lienholders had suffered no loss if the fair market value of the collateral sold was less than the amount of the senior liens.  . . . </w:t>
      </w:r>
    </w:p>
    <w:p w:rsidR="00032A5B" w:rsidRDefault="00032A5B" w:rsidP="00032A5B">
      <w:pPr>
        <w:spacing w:before="120"/>
      </w:pPr>
      <w:r>
        <w:t xml:space="preserve">The precode measure of damages result . . . is identical to the precode result reached by </w:t>
      </w:r>
      <w:smartTag w:uri="urn:schemas-microsoft-com:office:smarttags" w:element="place">
        <w:smartTag w:uri="urn:schemas-microsoft-com:office:smarttags" w:element="State">
          <w:r>
            <w:t>Nebraska</w:t>
          </w:r>
        </w:smartTag>
      </w:smartTag>
      <w:r>
        <w:t xml:space="preserve"> courts.  Disputes between chattel mortgagees were settled according to this principle: "The rule is well settled in this state that if the actual value of the property is applied upon the mortgage, and is insufficient to pay the same the mortgagee cannot be held liable to the mortgagor or subsequent mortgagees in an action for conversion of the property."</w:t>
      </w:r>
    </w:p>
    <w:p w:rsidR="00032A5B" w:rsidRDefault="00032A5B" w:rsidP="00032A5B">
      <w:pPr>
        <w:spacing w:before="120"/>
      </w:pPr>
      <w:r>
        <w:lastRenderedPageBreak/>
        <w:t xml:space="preserve">Our interpretation of the "any loss" provision of § 9-507(1) . . . is not only consistent with this state's precode case law, but also effectuates the code's desire that the "aggrieved party may be put in as good a position as if the other party had fully performed . . . ." </w:t>
      </w:r>
      <w:smartTag w:uri="urn:schemas-microsoft-com:office:smarttags" w:element="place">
        <w:smartTag w:uri="urn:schemas-microsoft-com:office:smarttags" w:element="State">
          <w:r>
            <w:t>Neb.</w:t>
          </w:r>
        </w:smartTag>
      </w:smartTag>
      <w:r>
        <w:t xml:space="preserve"> U.C.C. § 1-106 (Reissue 1980).</w:t>
      </w:r>
    </w:p>
    <w:p w:rsidR="00032A5B" w:rsidRDefault="00032A5B" w:rsidP="00032A5B">
      <w:pPr>
        <w:spacing w:before="120"/>
      </w:pPr>
      <w:r>
        <w:t xml:space="preserve">In the case at bar McGowens offered testimony alleging that the cattle were worth nearly $50,000, instead of the $28,956 which NSB sold them for at auction.  Even if we accept McGowens' value estimate as true, this would not entitle the plaintiffs to any recovery.  The evidence indicated that High was indebted to NSB for over $372,000.  Applying these facts to our holding regarding the "any loss" provision of § 9-507(1), we  conclude that in the absence of evidence that these cattle were worth over $372,000, i.e., the amount sufficient to satisfy the senior lien, McGowens have suffered no loss. . . . </w:t>
      </w:r>
    </w:p>
    <w:p w:rsidR="00032A5B" w:rsidRDefault="00032A5B" w:rsidP="00032A5B">
      <w:pPr>
        <w:spacing w:before="120"/>
      </w:pPr>
      <w:r>
        <w:t>The jury verdict in this case in favor of plaintiffs-appellees must be set aside because, as a matter of law, there was no evidence to support a finding of damages.  We reverse, and remand the cause to the district court with directions to enter an order accordingly.</w:t>
      </w:r>
    </w:p>
    <w:p w:rsidR="00032A5B" w:rsidRDefault="00032A5B" w:rsidP="00032A5B">
      <w:pPr>
        <w:spacing w:before="120"/>
      </w:pPr>
    </w:p>
    <w:p w:rsidR="00032A5B" w:rsidRDefault="00032A5B" w:rsidP="00032A5B">
      <w:pPr>
        <w:spacing w:before="120"/>
      </w:pPr>
      <w:r>
        <w:t>Reversed and remanded with directions.</w:t>
      </w:r>
    </w:p>
    <w:p w:rsidR="00032A5B" w:rsidRPr="000C3705" w:rsidRDefault="00032A5B" w:rsidP="00032A5B">
      <w:pPr>
        <w:jc w:val="center"/>
      </w:pPr>
      <w:r>
        <w:br w:type="page"/>
      </w:r>
      <w:r w:rsidRPr="000C3705">
        <w:lastRenderedPageBreak/>
        <w:t>In Re: Jacob Matthew PHILLIPS, Charlene Tweedy Phillips, t/a Village Variety 5 &amp; 10, Debtors</w:t>
      </w:r>
    </w:p>
    <w:p w:rsidR="00032A5B" w:rsidRPr="000C3705" w:rsidRDefault="00032A5B" w:rsidP="00032A5B">
      <w:pPr>
        <w:jc w:val="center"/>
      </w:pPr>
      <w:r w:rsidRPr="000C3705">
        <w:br/>
        <w:t>Case No. 7-85-00711-A</w:t>
      </w:r>
    </w:p>
    <w:p w:rsidR="00032A5B" w:rsidRPr="000C3705" w:rsidRDefault="00032A5B" w:rsidP="00032A5B">
      <w:pPr>
        <w:jc w:val="center"/>
      </w:pPr>
      <w:r w:rsidRPr="000C3705">
        <w:br/>
      </w:r>
      <w:smartTag w:uri="urn:schemas-microsoft-com:office:smarttags" w:element="place">
        <w:smartTag w:uri="urn:schemas-microsoft-com:office:smarttags" w:element="country-region">
          <w:r w:rsidRPr="000C3705">
            <w:t>United States</w:t>
          </w:r>
        </w:smartTag>
      </w:smartTag>
      <w:r w:rsidRPr="000C3705">
        <w:t xml:space="preserve"> Bankruptcy Court </w:t>
      </w:r>
      <w:r>
        <w:t>f</w:t>
      </w:r>
      <w:r w:rsidRPr="000C3705">
        <w:t xml:space="preserve">or </w:t>
      </w:r>
      <w:r>
        <w:t>t</w:t>
      </w:r>
      <w:r w:rsidRPr="000C3705">
        <w:t xml:space="preserve">he Western District </w:t>
      </w:r>
      <w:r>
        <w:t>o</w:t>
      </w:r>
      <w:r w:rsidRPr="000C3705">
        <w:t>f Virginia, Abingdon Division</w:t>
      </w:r>
    </w:p>
    <w:p w:rsidR="00032A5B" w:rsidRPr="000C3705" w:rsidRDefault="00032A5B" w:rsidP="00032A5B">
      <w:pPr>
        <w:jc w:val="center"/>
      </w:pPr>
      <w:r w:rsidRPr="000C3705">
        <w:br/>
      </w:r>
      <w:r w:rsidRPr="000C3705">
        <w:rPr>
          <w:b/>
          <w:bCs/>
        </w:rPr>
        <w:t xml:space="preserve">55 </w:t>
      </w:r>
      <w:r w:rsidRPr="000C3705">
        <w:rPr>
          <w:bCs/>
        </w:rPr>
        <w:t>B.R. 663</w:t>
      </w:r>
      <w:r w:rsidRPr="000C3705">
        <w:br/>
        <w:t> </w:t>
      </w:r>
      <w:r w:rsidRPr="000C3705">
        <w:br/>
        <w:t>December 16, 1985</w:t>
      </w:r>
    </w:p>
    <w:p w:rsidR="00032A5B" w:rsidRDefault="00032A5B" w:rsidP="00032A5B">
      <w:r w:rsidRPr="000C3705">
        <w:br/>
      </w:r>
    </w:p>
    <w:p w:rsidR="00032A5B" w:rsidRDefault="00032A5B" w:rsidP="00032A5B"/>
    <w:p w:rsidR="00032A5B" w:rsidRDefault="00032A5B" w:rsidP="00032A5B">
      <w:r w:rsidRPr="000C3705">
        <w:br/>
      </w:r>
      <w:r w:rsidRPr="000C3705">
        <w:rPr>
          <w:bCs/>
        </w:rPr>
        <w:t>JUDGE:</w:t>
      </w:r>
      <w:r w:rsidRPr="000C3705">
        <w:t xml:space="preserve"> </w:t>
      </w:r>
      <w:r>
        <w:t xml:space="preserve">  </w:t>
      </w:r>
      <w:r w:rsidRPr="000C3705">
        <w:t xml:space="preserve">H. </w:t>
      </w:r>
      <w:smartTag w:uri="urn:schemas-microsoft-com:office:smarttags" w:element="place">
        <w:r w:rsidRPr="000C3705">
          <w:t>Clyde</w:t>
        </w:r>
      </w:smartTag>
      <w:r w:rsidRPr="000C3705">
        <w:t xml:space="preserve"> Pearson, Judge.</w:t>
      </w:r>
      <w:r w:rsidRPr="000C3705">
        <w:br/>
      </w:r>
      <w:r w:rsidRPr="000C3705">
        <w:br/>
      </w:r>
    </w:p>
    <w:p w:rsidR="00032A5B" w:rsidRDefault="00032A5B" w:rsidP="00032A5B">
      <w:r w:rsidRPr="000C3705">
        <w:t>MEMORANDUM OPINION AND ORDER</w:t>
      </w:r>
      <w:r w:rsidRPr="000C3705">
        <w:br/>
      </w:r>
      <w:r w:rsidRPr="000C3705">
        <w:br/>
        <w:t xml:space="preserve">The issue for determination is whether the motion of Creditway of America ("Creditway") for relief from the stay to repossess collateral should </w:t>
      </w:r>
      <w:r>
        <w:t>be granted.</w:t>
      </w:r>
      <w:r>
        <w:br/>
      </w:r>
      <w:r>
        <w:br/>
      </w:r>
      <w:r w:rsidRPr="000C3705">
        <w:t>Upon hearing before the Court</w:t>
      </w:r>
      <w:r>
        <w:t xml:space="preserve">, </w:t>
      </w:r>
      <w:r w:rsidRPr="000C3705">
        <w:t xml:space="preserve">the facts appeared as follows. The Debtors, Jacob M. Phillips and his wife, Charlene T. Phillips, jointly owned the Village Variety 5 &amp; 10 Store in </w:t>
      </w:r>
      <w:smartTag w:uri="urn:schemas-microsoft-com:office:smarttags" w:element="place">
        <w:smartTag w:uri="urn:schemas-microsoft-com:office:smarttags" w:element="City">
          <w:r w:rsidRPr="000C3705">
            <w:t>Bluefield</w:t>
          </w:r>
        </w:smartTag>
        <w:r w:rsidRPr="000C3705">
          <w:t xml:space="preserve">, </w:t>
        </w:r>
        <w:smartTag w:uri="urn:schemas-microsoft-com:office:smarttags" w:element="State">
          <w:r w:rsidRPr="000C3705">
            <w:t>Virginia</w:t>
          </w:r>
        </w:smartTag>
      </w:smartTag>
      <w:r w:rsidRPr="000C3705">
        <w:t xml:space="preserve">. In addition, Mrs. Phillips was employed, as she still is to this date, as a Computer Science teacher at the </w:t>
      </w:r>
      <w:smartTag w:uri="urn:schemas-microsoft-com:office:smarttags" w:element="place">
        <w:smartTag w:uri="urn:schemas-microsoft-com:office:smarttags" w:element="PlaceName">
          <w:r w:rsidRPr="000C3705">
            <w:t>Wytheville</w:t>
          </w:r>
        </w:smartTag>
        <w:r w:rsidRPr="000C3705">
          <w:t xml:space="preserve"> </w:t>
        </w:r>
        <w:smartTag w:uri="urn:schemas-microsoft-com:office:smarttags" w:element="PlaceType">
          <w:r w:rsidRPr="000C3705">
            <w:t>Community College</w:t>
          </w:r>
        </w:smartTag>
      </w:smartTag>
      <w:r w:rsidRPr="000C3705">
        <w:t>.</w:t>
      </w:r>
      <w:r w:rsidRPr="000C3705">
        <w:br/>
      </w:r>
      <w:r w:rsidRPr="000C3705">
        <w:br/>
        <w:t>On December 1, 1984, Mrs. Phillips entered into a retail installment sales contract with Holdren's, Inc. for the purchase of an IBM Leading Edge color computer, Panasonic printer, printer cable, printer paper, and 3M diskettes. The contract, which was also a security agreement, provided for total payment of $3,175.68, with monthly payments of $132.32 to begin on March 5, 1985.</w:t>
      </w:r>
      <w:r w:rsidRPr="000C3705">
        <w:br/>
      </w:r>
      <w:r w:rsidRPr="000C3705">
        <w:br/>
        <w:t>On December 1, 1984, Holdren's executed an assignment of the contract to Creditway.</w:t>
      </w:r>
      <w:r w:rsidRPr="000C3705">
        <w:br/>
      </w:r>
      <w:r w:rsidRPr="000C3705">
        <w:br/>
        <w:t>The sole testimony presented was that of the Debtor, Mrs. Phillips, and one Robert Benson. Benson, a branch manager of Creditway, testified that a credit check was done on Mrs. Phillips but that he had no knowledge of any conversations between representatives of Holdrens and Mrs. Phillips since Creditway did not deal with her directly.</w:t>
      </w:r>
      <w:r w:rsidRPr="000C3705">
        <w:br/>
      </w:r>
      <w:r w:rsidRPr="000C3705">
        <w:br/>
        <w:t>Mrs. Phillips testified that at the time of purchase, she informed the salesperson at Holdren's that she was purchasing the computer for professional use in her teaching assignments as well as for use in the variety store. One of the software programs purchased was a Practical Accounting program for business transactions. Mrs. Phillips also received the special discount price which Holdren's gives to state instructors for their teaching use.</w:t>
      </w:r>
      <w:r w:rsidRPr="000C3705">
        <w:br/>
      </w:r>
      <w:r w:rsidRPr="000C3705">
        <w:br/>
        <w:t>The computer was used in the store for a period of time prior to its closing in April, 1985. The Chapter 7 petition was filed on June 26, 1985. The last payment made on the account was on March 26, 1985. The present balance due and owing is $2,597.79.  No financing statement was ever filed in this case. Creditway contends that it was not required to perfect its interest since the items were consumer goods and, as such, the security agreement itself is adequate to perfect a security interest in the computer. The Debtors contend that the computer items were not consumer goods but equipment and that, as such, it was necessary for Creditway to file to perfect and protect its secured interest.</w:t>
      </w:r>
      <w:r>
        <w:t xml:space="preserve"> . . .</w:t>
      </w:r>
      <w:r w:rsidRPr="000C3705">
        <w:br/>
      </w:r>
      <w:r w:rsidRPr="000C3705">
        <w:br/>
        <w:t xml:space="preserve">The key factor in determining whether to grant Creditway's motion for relief is the classification of the collateral. </w:t>
      </w:r>
      <w:r w:rsidRPr="000C3705">
        <w:rPr>
          <w:i/>
          <w:iCs/>
        </w:rPr>
        <w:t>Virginia Code</w:t>
      </w:r>
      <w:r w:rsidRPr="000C3705">
        <w:t xml:space="preserve"> § 8.9-302(1) (d) provides that "a financing statement shall be filed to perfect all security interests except . . . . a purchase money security interest in consumer goods." If the computer items are classified as consumer goods, then Creditway, as assignee of Holdren's, would not need to file a financin</w:t>
      </w:r>
      <w:r>
        <w:t>g statement </w:t>
      </w:r>
      <w:r w:rsidRPr="000C3705">
        <w:t xml:space="preserve">to have a perfected security interest in the collateral. </w:t>
      </w:r>
      <w:r>
        <w:t xml:space="preserve"> </w:t>
      </w:r>
      <w:r w:rsidRPr="000C3705">
        <w:t xml:space="preserve">However, if the computer items are classified as equipment then, pursuant to </w:t>
      </w:r>
      <w:r w:rsidRPr="000C3705">
        <w:rPr>
          <w:i/>
          <w:iCs/>
        </w:rPr>
        <w:t>Virginia Code</w:t>
      </w:r>
      <w:r w:rsidRPr="000C3705">
        <w:t xml:space="preserve"> § 8.9-401(c), it would be necessary for Creditway to have a dual filing to perfect  its security interest.</w:t>
      </w:r>
      <w:r w:rsidRPr="000C3705">
        <w:br/>
      </w:r>
    </w:p>
    <w:p w:rsidR="00032A5B" w:rsidRPr="000C3705" w:rsidRDefault="00032A5B" w:rsidP="00032A5B">
      <w:r w:rsidRPr="000C3705">
        <w:rPr>
          <w:i/>
          <w:iCs/>
        </w:rPr>
        <w:t>Virginia Code</w:t>
      </w:r>
      <w:r w:rsidRPr="000C3705">
        <w:t xml:space="preserve"> § 8.9-109 outlines the classification of collateral. In p</w:t>
      </w:r>
      <w:r>
        <w:t>ertinent part, it provides that:</w:t>
      </w:r>
    </w:p>
    <w:p w:rsidR="00032A5B" w:rsidRDefault="00032A5B" w:rsidP="00032A5B">
      <w:pPr>
        <w:ind w:left="720"/>
      </w:pPr>
    </w:p>
    <w:p w:rsidR="00032A5B" w:rsidRPr="000C3705" w:rsidRDefault="00032A5B" w:rsidP="00032A5B">
      <w:pPr>
        <w:ind w:left="720"/>
      </w:pPr>
      <w:r w:rsidRPr="000C3705">
        <w:lastRenderedPageBreak/>
        <w:t>"Goods are</w:t>
      </w:r>
      <w:r>
        <w:t>:</w:t>
      </w:r>
      <w:r w:rsidRPr="000C3705">
        <w:br/>
        <w:t>(1) 'consumer goods' if they are used or bought for use primarily for personal, family, or household purposes;</w:t>
      </w:r>
      <w:r w:rsidRPr="000C3705">
        <w:br/>
        <w:t>(2) 'equipment' if they are used or bought for use primarily in business (including farming or a profession). . . ."</w:t>
      </w:r>
    </w:p>
    <w:p w:rsidR="00032A5B" w:rsidRDefault="00032A5B" w:rsidP="00032A5B">
      <w:r w:rsidRPr="000C3705">
        <w:br/>
        <w:t xml:space="preserve">The test for the classification of goods under </w:t>
      </w:r>
      <w:r w:rsidRPr="000C3705">
        <w:rPr>
          <w:i/>
          <w:iCs/>
        </w:rPr>
        <w:t>Virginia Code</w:t>
      </w:r>
      <w:r w:rsidRPr="000C3705">
        <w:t xml:space="preserve"> § 8.9-109 is the owner's use of the goods. </w:t>
      </w:r>
      <w:r>
        <w:t xml:space="preserve"> </w:t>
      </w:r>
      <w:r w:rsidRPr="000C3705">
        <w:t>The classes of goods are mutually exclusive. The same property cannot be in two classes at the same time and as to the same person.</w:t>
      </w:r>
      <w:r>
        <w:t xml:space="preserve"> </w:t>
      </w:r>
      <w:r w:rsidRPr="000C3705">
        <w:t xml:space="preserve"> Thus, an item cannot, for example, be classified as both consumer goods and equipment.</w:t>
      </w:r>
      <w:r w:rsidRPr="000C3705">
        <w:br/>
      </w:r>
      <w:r w:rsidRPr="000C3705">
        <w:br/>
        <w:t>The evidence before this Court indicates that the computer items were purchased for use primarily in business rather than for personal, family, or household purposes. Mrs. Phillips' uncontradicted testimony is that at the time of purchase, she informed the salesperson at Holdren's t</w:t>
      </w:r>
      <w:r>
        <w:t>hat the computer would be</w:t>
      </w:r>
      <w:r w:rsidRPr="000C3705">
        <w:t xml:space="preserve"> used for her teaching assignments as well as in the variety store. She received a special discount as a state instructor for purchase of the items for use in teaching. Mrs. Phillips also indicated that she purchased this computer with its memory capability to handle business transactions, and that she purchased a software package on Practical Accounting for business billing. These facts and circumstances should have provided sufficient notice of the use of the items for classification purposes such that financing statements could have been filed properly to perfect the security interest under </w:t>
      </w:r>
      <w:r w:rsidRPr="000C3705">
        <w:rPr>
          <w:i/>
          <w:iCs/>
        </w:rPr>
        <w:t>Virginia Code</w:t>
      </w:r>
      <w:r w:rsidRPr="000C3705">
        <w:t xml:space="preserve"> § 8.9-401(c).</w:t>
      </w:r>
      <w:r w:rsidRPr="000C3705">
        <w:br/>
      </w:r>
      <w:r w:rsidRPr="000C3705">
        <w:br/>
        <w:t xml:space="preserve">Courts have held without exception that the </w:t>
      </w:r>
      <w:r w:rsidRPr="000C3705">
        <w:rPr>
          <w:i/>
          <w:iCs/>
        </w:rPr>
        <w:t>Uniform Commercial Code</w:t>
      </w:r>
      <w:r w:rsidRPr="000C3705">
        <w:t xml:space="preserve"> filing requirements are mandatory and that the filing of a financial statement in an improper place or not in all the places required is ineffective to perfect a security interest. </w:t>
      </w:r>
      <w:r w:rsidRPr="000C3705">
        <w:rPr>
          <w:i/>
          <w:iCs/>
        </w:rPr>
        <w:t>In re Mauck,</w:t>
      </w:r>
      <w:r w:rsidRPr="000C3705">
        <w:t xml:space="preserve"> 378 F. Supp. 904, 906 (</w:t>
      </w:r>
      <w:smartTag w:uri="urn:schemas-microsoft-com:office:smarttags" w:element="City">
        <w:r w:rsidRPr="000C3705">
          <w:t>W.D.</w:t>
        </w:r>
      </w:smartTag>
      <w:r w:rsidRPr="000C3705">
        <w:t xml:space="preserve"> </w:t>
      </w:r>
      <w:smartTag w:uri="urn:schemas-microsoft-com:office:smarttags" w:element="State">
        <w:r w:rsidRPr="000C3705">
          <w:t>VA</w:t>
        </w:r>
      </w:smartTag>
      <w:r w:rsidRPr="000C3705">
        <w:t xml:space="preserve"> 1974); </w:t>
      </w:r>
      <w:r w:rsidRPr="000C3705">
        <w:rPr>
          <w:i/>
          <w:iCs/>
        </w:rPr>
        <w:t>In re Hurt Enterprises,</w:t>
      </w:r>
      <w:r w:rsidRPr="000C3705">
        <w:t xml:space="preserve"> 321 F. Supp. 1307, 1309 (</w:t>
      </w:r>
      <w:smartTag w:uri="urn:schemas-microsoft-com:office:smarttags" w:element="place">
        <w:smartTag w:uri="urn:schemas-microsoft-com:office:smarttags" w:element="City">
          <w:r w:rsidRPr="000C3705">
            <w:t>W.D.</w:t>
          </w:r>
        </w:smartTag>
        <w:r w:rsidRPr="000C3705">
          <w:t xml:space="preserve"> </w:t>
        </w:r>
        <w:smartTag w:uri="urn:schemas-microsoft-com:office:smarttags" w:element="State">
          <w:r w:rsidRPr="000C3705">
            <w:t>VA</w:t>
          </w:r>
        </w:smartTag>
      </w:smartTag>
      <w:r w:rsidRPr="000C3705">
        <w:t xml:space="preserve"> 1971), and the cases cited therein. </w:t>
      </w:r>
      <w:r>
        <w:t xml:space="preserve"> </w:t>
      </w:r>
      <w:r w:rsidRPr="000C3705">
        <w:t xml:space="preserve">Although the application of rules in a given case may be harsh, any other result would invite inconsistency which the </w:t>
      </w:r>
      <w:r w:rsidRPr="000C3705">
        <w:rPr>
          <w:i/>
          <w:iCs/>
        </w:rPr>
        <w:t>Uniform Commercial Code</w:t>
      </w:r>
      <w:r>
        <w:t xml:space="preserve"> was enacted to</w:t>
      </w:r>
      <w:r w:rsidRPr="000C3705">
        <w:t xml:space="preserve"> avoid</w:t>
      </w:r>
      <w:r>
        <w:t>.</w:t>
      </w:r>
      <w:r w:rsidRPr="000C3705">
        <w:t xml:space="preserve"> </w:t>
      </w:r>
      <w:r w:rsidRPr="000C3705">
        <w:br/>
      </w:r>
      <w:r w:rsidRPr="000C3705">
        <w:br/>
        <w:t>On the evidence presented, the collateral should and is hereby found to be classified as equipment and, having not filed in all places required, Creditway holds an unperfected security interest against the Debtors' exemption rights therein.</w:t>
      </w:r>
      <w:r>
        <w:t xml:space="preserve"> . . .</w:t>
      </w:r>
      <w:r w:rsidRPr="000C3705">
        <w:br/>
      </w:r>
    </w:p>
    <w:p w:rsidR="001A4727" w:rsidRDefault="00032A5B" w:rsidP="00032A5B">
      <w:r w:rsidRPr="000C3705">
        <w:t>Accordingly, the motion of Creditway for relief from the stay is ORDERED denied.</w:t>
      </w:r>
      <w:r w:rsidRPr="000C3705">
        <w:br/>
      </w:r>
      <w:r w:rsidRPr="000C3705">
        <w:br/>
      </w:r>
    </w:p>
    <w:p w:rsidR="001A4727" w:rsidRDefault="001A4727">
      <w:pPr>
        <w:spacing w:after="160" w:line="259" w:lineRule="auto"/>
      </w:pPr>
      <w:r>
        <w:br w:type="page"/>
      </w:r>
    </w:p>
    <w:p w:rsidR="00D008C6" w:rsidRPr="004127CA" w:rsidRDefault="00D008C6" w:rsidP="00D008C6">
      <w:pPr>
        <w:rPr>
          <w:rFonts w:cs="Courier"/>
          <w:b/>
        </w:rPr>
        <w:sectPr w:rsidR="00D008C6" w:rsidRPr="004127CA" w:rsidSect="00D008C6">
          <w:pgSz w:w="12240" w:h="15840"/>
          <w:pgMar w:top="1152" w:right="1152" w:bottom="1152" w:left="1152" w:header="720" w:footer="720" w:gutter="0"/>
          <w:cols w:space="720"/>
          <w:noEndnote/>
          <w:docGrid w:linePitch="272"/>
        </w:sectPr>
      </w:pPr>
    </w:p>
    <w:p w:rsidR="00D008C6" w:rsidRPr="004127CA" w:rsidRDefault="00D008C6" w:rsidP="00D008C6">
      <w:pPr>
        <w:ind w:left="1200" w:right="1200"/>
        <w:jc w:val="center"/>
        <w:rPr>
          <w:bCs/>
        </w:rPr>
      </w:pPr>
      <w:r w:rsidRPr="004127CA">
        <w:rPr>
          <w:bCs/>
        </w:rPr>
        <w:lastRenderedPageBreak/>
        <w:t>Ozark Financial Services, a division of Ozark Kenworth, Inc., Plaintiff-Appellant, v. Lonnie Turner and Patsy Turner, Defendants, v. Pete &amp; Sons Garage, Inc., Intervenors-Respondents</w:t>
      </w:r>
    </w:p>
    <w:p w:rsidR="00D008C6" w:rsidRPr="004127CA" w:rsidRDefault="00D008C6" w:rsidP="00D008C6">
      <w:pPr>
        <w:rPr>
          <w:bCs/>
        </w:rPr>
      </w:pPr>
    </w:p>
    <w:p w:rsidR="00D008C6" w:rsidRPr="004127CA" w:rsidRDefault="00D008C6" w:rsidP="00D008C6">
      <w:pPr>
        <w:ind w:left="1200" w:right="1200"/>
        <w:jc w:val="center"/>
        <w:rPr>
          <w:bCs/>
        </w:rPr>
      </w:pPr>
      <w:r w:rsidRPr="004127CA">
        <w:rPr>
          <w:bCs/>
        </w:rPr>
        <w:t>Court of Appeals of Missouri, Southern District, Division Two</w:t>
      </w:r>
    </w:p>
    <w:p w:rsidR="00D008C6" w:rsidRPr="004127CA" w:rsidRDefault="00D008C6" w:rsidP="00D008C6">
      <w:pPr>
        <w:rPr>
          <w:bCs/>
        </w:rPr>
      </w:pPr>
    </w:p>
    <w:p w:rsidR="00D008C6" w:rsidRPr="004127CA" w:rsidRDefault="00D008C6" w:rsidP="00D008C6">
      <w:pPr>
        <w:ind w:left="1200" w:right="1200"/>
        <w:jc w:val="center"/>
        <w:rPr>
          <w:bCs/>
        </w:rPr>
      </w:pPr>
      <w:r w:rsidRPr="004127CA">
        <w:rPr>
          <w:bCs/>
          <w:color w:val="000000" w:themeColor="text1"/>
        </w:rPr>
        <w:t>735 S.W.2d 374</w:t>
      </w:r>
    </w:p>
    <w:p w:rsidR="00D008C6" w:rsidRPr="004127CA" w:rsidRDefault="00D008C6" w:rsidP="00D008C6">
      <w:pPr>
        <w:rPr>
          <w:bCs/>
        </w:rPr>
      </w:pPr>
    </w:p>
    <w:p w:rsidR="00D008C6" w:rsidRPr="004127CA" w:rsidRDefault="00D008C6" w:rsidP="00D008C6">
      <w:pPr>
        <w:ind w:left="1200" w:right="1200"/>
        <w:jc w:val="center"/>
        <w:rPr>
          <w:bCs/>
        </w:rPr>
      </w:pPr>
      <w:r w:rsidRPr="004127CA">
        <w:rPr>
          <w:bCs/>
        </w:rPr>
        <w:t xml:space="preserve">June 25, 1987, Filed </w:t>
      </w:r>
    </w:p>
    <w:p w:rsidR="00D008C6" w:rsidRPr="004127CA" w:rsidRDefault="00D008C6" w:rsidP="00D008C6">
      <w:pPr>
        <w:rPr>
          <w:bCs/>
        </w:rPr>
      </w:pPr>
    </w:p>
    <w:p w:rsidR="00D008C6" w:rsidRDefault="00D008C6" w:rsidP="00D008C6">
      <w:pPr>
        <w:rPr>
          <w:bCs/>
        </w:rPr>
      </w:pPr>
    </w:p>
    <w:p w:rsidR="00D008C6" w:rsidRPr="004127CA" w:rsidRDefault="00D008C6" w:rsidP="00D008C6">
      <w:r w:rsidRPr="004127CA">
        <w:rPr>
          <w:bCs/>
        </w:rPr>
        <w:t xml:space="preserve">PRIOR HISTORY: </w:t>
      </w:r>
      <w:r>
        <w:rPr>
          <w:bCs/>
        </w:rPr>
        <w:t xml:space="preserve"> </w:t>
      </w:r>
      <w:r w:rsidRPr="004127CA">
        <w:t xml:space="preserve">APPEAL FROM THE CIRCUIT COURT OF HOWELL COUNTY, MISSOURI, Honorable John C. Holstein, Judge.  </w:t>
      </w:r>
    </w:p>
    <w:p w:rsidR="00D008C6" w:rsidRPr="004127CA" w:rsidRDefault="00D008C6" w:rsidP="00D008C6"/>
    <w:p w:rsidR="00D008C6" w:rsidRPr="004127CA" w:rsidRDefault="00D008C6" w:rsidP="00D008C6">
      <w:r w:rsidRPr="004127CA">
        <w:rPr>
          <w:bCs/>
        </w:rPr>
        <w:t xml:space="preserve">JUDGES: </w:t>
      </w:r>
      <w:r>
        <w:rPr>
          <w:bCs/>
        </w:rPr>
        <w:t xml:space="preserve"> </w:t>
      </w:r>
      <w:r w:rsidRPr="004127CA">
        <w:t xml:space="preserve">ALMON H. MAUS, JUDGE, PREWITT, P.J., HOGAN and FLANIGAN, JJ. concur.  </w:t>
      </w:r>
    </w:p>
    <w:p w:rsidR="00D008C6" w:rsidRPr="004127CA" w:rsidRDefault="00D008C6" w:rsidP="00D008C6"/>
    <w:p w:rsidR="00D008C6" w:rsidRDefault="00D008C6" w:rsidP="00D008C6">
      <w:pPr>
        <w:rPr>
          <w:bCs/>
        </w:rPr>
      </w:pPr>
    </w:p>
    <w:p w:rsidR="00D008C6" w:rsidRPr="004127CA" w:rsidRDefault="00D008C6" w:rsidP="00D008C6">
      <w:r w:rsidRPr="004127CA">
        <w:rPr>
          <w:bCs/>
        </w:rPr>
        <w:t xml:space="preserve">OPINION BY: </w:t>
      </w:r>
      <w:r>
        <w:rPr>
          <w:bCs/>
        </w:rPr>
        <w:t xml:space="preserve">  </w:t>
      </w:r>
      <w:r w:rsidRPr="004127CA">
        <w:t>ALMON H. MAUS, JUDGE</w:t>
      </w:r>
    </w:p>
    <w:p w:rsidR="00D008C6" w:rsidRDefault="00D008C6" w:rsidP="00D008C6">
      <w:pPr>
        <w:spacing w:before="120"/>
      </w:pPr>
      <w:r w:rsidRPr="004127CA">
        <w:t xml:space="preserve">This action commenced by appellant Ozark Financial Services filing a petition to replevin a tractor truck unit from the </w:t>
      </w:r>
      <w:r>
        <w:t>possession of Lonnie Turner and Patsy Turner. The petition alleged the appellant was entitled to possession of the vehicle by reason of the Turners' default under a security agreement-retail installment contract dated April 25, 1985. Pete &amp; Sons Garage, Inc., was permitted to intervene and assert an artisan's lien for labor and material furnished in repairing the vehicle. The disposition of the case by the circuit court included a judgment in favor of the intervenor and against appellant in the amount of $ 2,693.91. The appellant seeks the reversal of that judgment.</w:t>
      </w:r>
    </w:p>
    <w:p w:rsidR="00D008C6" w:rsidRDefault="00D008C6" w:rsidP="00D008C6">
      <w:pPr>
        <w:spacing w:before="120"/>
      </w:pPr>
      <w:r>
        <w:t>The petition of intervenor was in two counts. Count I sought recovery</w:t>
      </w:r>
      <w:r>
        <w:rPr>
          <w:b/>
          <w:bCs/>
        </w:rPr>
        <w:t xml:space="preserve"> </w:t>
      </w:r>
      <w:r>
        <w:t>upon the basis of a common law artisan's lien. Count II asserted a statutory lien under § 430.020. The circuit court entered judgment in favor of intervenor upon Count I. The appellant contends this was error. It also contends the circuit court correctly dismissed Count II. The following is a brief summary of the salient facts.</w:t>
      </w:r>
    </w:p>
    <w:p w:rsidR="00D008C6" w:rsidRDefault="00D008C6" w:rsidP="00D008C6">
      <w:pPr>
        <w:spacing w:before="120"/>
      </w:pPr>
      <w:r>
        <w:t>The issue date of the title to the vehicle was October 4, 1984. Appellant was shown as a lienholder. The security agreement under which appellant obtained possession was dated April 25, 1985. The repairs were made in June, 1985. When the repairs were completed, the vehicle was returned to the possession of the Turners. It was returned upon a verbal agreement that if the Turners could not pay for the repairs, they would return the vehicle to the intervenor. The vehicle remained in the possession of and was used by the Turners until the latter part of November, 1985. It was then returned to intervenor. At that time, a writing was prepared reciting in lay language the verbal agreement referred to above. Under a writ of replevin against the Turners, the sheriff took the vehicle from the intervenor and delivered it to appellant.</w:t>
      </w:r>
    </w:p>
    <w:p w:rsidR="00D008C6" w:rsidRDefault="00D008C6" w:rsidP="00D008C6">
      <w:pPr>
        <w:spacing w:before="120"/>
      </w:pPr>
      <w:r>
        <w:t xml:space="preserve">In the circuit court, as in this court, it was appellant's position intervenor lost its common law artisan's lien when it surrendered possession of the vehicle to the Turners. Intervenor contended its lien was not lost because the vehicle was delivered to the Turners subject to the condition of the verbal agreement. Intervenor relied upon the following expression. "As a general rule a lien dependent on possession is waived or lost by the lienholder voluntarily and </w:t>
      </w:r>
      <w:r>
        <w:rPr>
          <w:i/>
          <w:iCs/>
        </w:rPr>
        <w:t xml:space="preserve">unconditionally </w:t>
      </w:r>
      <w:r>
        <w:t xml:space="preserve">parting with possession or control of the property to which it attaches." Hughes v. Aetna Ins. Co., 261 S.W.2d 942, 951 (Mo. 1953). This language is found as dictum in several Missouri cases. </w:t>
      </w:r>
    </w:p>
    <w:p w:rsidR="00D008C6" w:rsidRDefault="00D008C6" w:rsidP="00D008C6">
      <w:pPr>
        <w:spacing w:before="120"/>
      </w:pPr>
      <w:r>
        <w:t>However, the general rule applicable to the common law lien has been stated as follows. "Being dependent upon possession, the common law lien is lost if the lienholder voluntarily parts with possession of the vehicle." Lamke v. Lynn, 680 S.W.2d 285, 288 (Mo.App. 1984).</w:t>
      </w:r>
    </w:p>
    <w:p w:rsidR="00D008C6" w:rsidRDefault="00D008C6" w:rsidP="00D008C6">
      <w:pPr>
        <w:spacing w:before="120"/>
      </w:pPr>
      <w:r>
        <w:t>There may be circumstances in which a common law lien is not lost by a brief, temporary conditional use of a vehicle by an owner. See Jackson v. Kusmer, supra. However, this case does not require a determination of whether or not in this state there are exceptions to the general rule as stated above. The return of the vehicle for the use of the Turners until it was determined the Turners could not pay for the repairs terminated the common law lien.</w:t>
      </w:r>
    </w:p>
    <w:p w:rsidR="00D008C6" w:rsidRDefault="00D008C6" w:rsidP="00D008C6">
      <w:pPr>
        <w:spacing w:before="120"/>
      </w:pPr>
      <w:r>
        <w:t>Appellants' second point is that the circuit court did not err in dismissing intervenors' Count II asserting a statutory lien. This point is supported by the following argument in appellant's brief.</w:t>
      </w:r>
    </w:p>
    <w:p w:rsidR="00D008C6" w:rsidRDefault="00D008C6" w:rsidP="00D008C6">
      <w:pPr>
        <w:spacing w:before="120"/>
      </w:pPr>
      <w:r>
        <w:t>By its own admission Respondent Garage acknowledges that the conditions for release of the vehicle to Respondent Turner were not reduced to writing until some time after the truck was released to Respondent Turner. Respondent Garage attempted to create a statutory lien, but failed to do so, since the written memorandum (agreement) was obtained long after Respondent Garage had voluntarily given up possession of the vehicle to Respondent Turner. Clearly, then, the Court did not err in determining that Respondent Garage had no statutory line [sic] on The 1980 Kenworth K100 tractor truck.</w:t>
      </w:r>
    </w:p>
    <w:p w:rsidR="00D008C6" w:rsidRDefault="00D008C6" w:rsidP="00D008C6">
      <w:pPr>
        <w:spacing w:before="120"/>
      </w:pPr>
      <w:r>
        <w:lastRenderedPageBreak/>
        <w:t>Exhibit A is dated June 18, 1985. It is on a printed form, a portion of which is obscured by an identification sticker. However, the legend before the signature line begins "I hereby authorize the . . ." The unobscured balance of the legend makes clear it provides an authorization of the repairs shown on that form. Exhibit B is also on a printed form and lists vehicle parts not shown on Exhibit A. Exhibit B is dated June 21, 1985. The exhibits were identified as correctly showing "the work and labor and materials that were expended in repairing the truck." Each exhibit was signed. They total $ 2,693.91. The exhibits were admitted without objection. The exhibits are a written memorandum of the work or materials furnished or to be furnished upon the vehicle. § 430.020.</w:t>
      </w:r>
    </w:p>
    <w:p w:rsidR="00D008C6" w:rsidRDefault="00D008C6" w:rsidP="00D008C6">
      <w:pPr>
        <w:spacing w:before="120"/>
      </w:pPr>
      <w:r>
        <w:t>Section 430.020 provides for a statutory lien for such labor and material.</w:t>
      </w:r>
    </w:p>
    <w:p w:rsidR="00D008C6" w:rsidRDefault="00D008C6" w:rsidP="00D008C6">
      <w:pPr>
        <w:spacing w:before="120"/>
      </w:pPr>
      <w:r>
        <w:t>The enactment of the statutory artisan lien did not destroy the common law lien of an artisan who furnished labor or material in the repair of a vehicle while he was in possession of it.  Being dependent upon possession, the common law lien is lost if the lienholder voluntarily parts with possession of the vehicle. However, the purpose of Sections 430.020 and 430.040 is to give the artisan a lien that he did not have at common law, in that if he secures a written memorandum from the owner then the writing will continue the lien after the artisan has parted with its possession providing a purchaser or other person takes possession with notice of the lien claim. . . .</w:t>
      </w:r>
    </w:p>
    <w:p w:rsidR="00D008C6" w:rsidRDefault="00D008C6" w:rsidP="00D008C6">
      <w:pPr>
        <w:spacing w:before="120"/>
      </w:pPr>
      <w:r>
        <w:t>To determine the priority of the statutory lien with respect to an existing security interest, § 430.020 must be read with § 430.040.  Section 430.040.2 in part provides:</w:t>
      </w:r>
    </w:p>
    <w:p w:rsidR="00D008C6" w:rsidRDefault="00D008C6" w:rsidP="00D008C6">
      <w:pPr>
        <w:spacing w:before="120"/>
      </w:pPr>
      <w:r>
        <w:t>The lien shall be valid against the vehicle . . . in the possession of any person receiving or purchasing the same, with notice of the lien claim; but the lien shall not take precedence over or be superior to any prior lien on the property, created by any financing statement on the same, duly perfected in accordance with the laws of this state, without the written consent of the secured party or the legal holder of the security agreement.</w:t>
      </w:r>
    </w:p>
    <w:p w:rsidR="00D008C6" w:rsidRDefault="00D008C6" w:rsidP="00D008C6">
      <w:pPr>
        <w:spacing w:before="120"/>
      </w:pPr>
      <w:r>
        <w:t>The relative status of the statutory lien and an existing security interest has been succinctly declared.</w:t>
      </w:r>
    </w:p>
    <w:p w:rsidR="00D008C6" w:rsidRDefault="00D008C6" w:rsidP="00D008C6">
      <w:pPr>
        <w:spacing w:before="120"/>
      </w:pPr>
      <w:r>
        <w:t>[O]ur three courts of appeals have unanimously held, and still do, that the enactment of Sections 430.010-430.050, V.A.M.S., creating the statutory lien, did not destroy or affect the Missouri artisan's common-law lien. . . . Furthermore, the statute contains no reference to priority except its provision that the lien it creates shall not take precedence over the lien of a chattel mortgage (and, by analogy, a conditional sales contract) '</w:t>
      </w:r>
      <w:r>
        <w:rPr>
          <w:i/>
          <w:iCs/>
        </w:rPr>
        <w:t>duly filed or recorded in accordance with the laws of this state, without the written consent of the mortgagee or the legal holder of said chattel mortgage</w:t>
      </w:r>
      <w:r>
        <w:t>.'</w:t>
      </w:r>
    </w:p>
    <w:p w:rsidR="00D008C6" w:rsidRDefault="00D008C6" w:rsidP="00D008C6">
      <w:pPr>
        <w:spacing w:before="120"/>
      </w:pPr>
      <w:r>
        <w:t xml:space="preserve">We are not required to decide whether . . . creating the statutory lien, that an artisan's common-law lien for repairs is still to be granted priority over a chattel mortgage 'duly filed or recorded in accordance with the laws of this state.' We deal here with a Florida conditional sales contract, never filed or recorded in this state. The meaning of those decisions was that an artisan's common-law lien took priority over all earlier mortgages recorded in this state, or elsewhere, and by analogy, over all conditional sales contracts occupying the same status. The only limitation on priority of the statutory lien was that it should not take precedence over a chattel mortgage and, by analogy, a conditional sales contract, 'duly filed or recorded in accordance with the laws of </w:t>
      </w:r>
      <w:r>
        <w:rPr>
          <w:i/>
          <w:iCs/>
        </w:rPr>
        <w:t xml:space="preserve">this </w:t>
      </w:r>
      <w:r>
        <w:t>state.' This is the extent to which the General Assembly chose to go. It went no further.</w:t>
      </w:r>
    </w:p>
    <w:p w:rsidR="00D008C6" w:rsidRDefault="00D008C6" w:rsidP="00D008C6">
      <w:r>
        <w:t xml:space="preserve"> </w:t>
      </w:r>
    </w:p>
    <w:p w:rsidR="00D008C6" w:rsidRDefault="00D008C6" w:rsidP="00D008C6">
      <w:r>
        <w:t>As stated, the appellant replevined the vehicle upon the basis of a security agreement dated April 25, 1985. Its claim to the vehicle was based upon a security agreement predating the repairs in question. The appellant is a Missouri corporation. The security agreement recites the Turners' chief place of business is in Omaha, Nebraska, and the tractor would be titled in Nebraska. However, it lists their residence as West Plains, Missouri. The security agreement further declares it was entered into in Missouri and will be governed by its laws. For a reason not apparent, the vehicle was titled in Illinois. The lien of the security agreement dated April 25, 1985, was not shown upon the face of that title. The lien of that security agreement was not "duly perfected in accordance with the laws of this state" within the requirements of §§ 301.600 to 301.660 and §§ 400.9-101 to 400.9-507. The lien of appellant was inferior to the statutory lien of intervenor.</w:t>
      </w:r>
    </w:p>
    <w:p w:rsidR="00D008C6" w:rsidRDefault="00D008C6" w:rsidP="00D008C6">
      <w:pPr>
        <w:spacing w:before="120"/>
      </w:pPr>
      <w:r>
        <w:t>The judgment of the circuit court is affirmed.</w:t>
      </w:r>
    </w:p>
    <w:p w:rsidR="00D008C6" w:rsidRDefault="00D008C6" w:rsidP="00D008C6"/>
    <w:p w:rsidR="00032A5B" w:rsidRPr="000C3705" w:rsidRDefault="00D008C6" w:rsidP="00D008C6">
      <w:r>
        <w:t>PREWITT, P.J., HOGAN and FLANIGAN, JJ. concur</w:t>
      </w:r>
    </w:p>
    <w:p w:rsidR="00032A5B" w:rsidRDefault="00032A5B" w:rsidP="00032A5B">
      <w:pPr>
        <w:spacing w:before="120"/>
      </w:pPr>
    </w:p>
    <w:p w:rsidR="00032A5B" w:rsidRPr="00975ADA" w:rsidRDefault="00032A5B" w:rsidP="00032A5B">
      <w:pPr>
        <w:pStyle w:val="BodyText2"/>
        <w:rPr>
          <w:sz w:val="24"/>
          <w:szCs w:val="24"/>
        </w:rPr>
      </w:pPr>
      <w:r>
        <w:rPr>
          <w:sz w:val="24"/>
          <w:szCs w:val="24"/>
        </w:rPr>
        <w:br w:type="page"/>
      </w:r>
      <w:r w:rsidRPr="009D7634">
        <w:rPr>
          <w:sz w:val="24"/>
          <w:szCs w:val="24"/>
        </w:rPr>
        <w:lastRenderedPageBreak/>
        <w:t>VIII.</w:t>
      </w:r>
      <w:r w:rsidRPr="009D7634">
        <w:rPr>
          <w:sz w:val="24"/>
          <w:szCs w:val="24"/>
        </w:rPr>
        <w:tab/>
        <w:t>Bankruptcy</w:t>
      </w:r>
    </w:p>
    <w:p w:rsidR="00032A5B" w:rsidRDefault="00032A5B" w:rsidP="00032A5B">
      <w:pPr>
        <w:pStyle w:val="NormalWeb"/>
        <w:jc w:val="center"/>
        <w:rPr>
          <w:sz w:val="20"/>
          <w:szCs w:val="20"/>
        </w:rPr>
      </w:pPr>
      <w:r>
        <w:rPr>
          <w:sz w:val="20"/>
        </w:rPr>
        <w:br w:type="page"/>
      </w:r>
      <w:r>
        <w:rPr>
          <w:sz w:val="20"/>
        </w:rPr>
        <w:lastRenderedPageBreak/>
        <w:t>MARGARET KAWAAU</w:t>
      </w:r>
      <w:r>
        <w:rPr>
          <w:sz w:val="20"/>
          <w:szCs w:val="20"/>
        </w:rPr>
        <w:t xml:space="preserve">HAU, ET VIR , PETITIONERS v. PAUL W. GEIGER </w:t>
      </w:r>
    </w:p>
    <w:p w:rsidR="00032A5B" w:rsidRDefault="00032A5B" w:rsidP="00032A5B">
      <w:pPr>
        <w:pStyle w:val="NormalWeb"/>
        <w:jc w:val="center"/>
        <w:rPr>
          <w:sz w:val="20"/>
          <w:szCs w:val="20"/>
        </w:rPr>
      </w:pPr>
      <w:r>
        <w:rPr>
          <w:sz w:val="20"/>
          <w:szCs w:val="20"/>
        </w:rPr>
        <w:t xml:space="preserve">On Writ of Certiorari to the </w:t>
      </w:r>
      <w:smartTag w:uri="urn:schemas-microsoft-com:office:smarttags" w:element="place">
        <w:smartTag w:uri="urn:schemas-microsoft-com:office:smarttags" w:element="country-region">
          <w:r>
            <w:rPr>
              <w:sz w:val="20"/>
              <w:szCs w:val="20"/>
            </w:rPr>
            <w:t>United States</w:t>
          </w:r>
        </w:smartTag>
      </w:smartTag>
      <w:r>
        <w:rPr>
          <w:sz w:val="20"/>
          <w:szCs w:val="20"/>
        </w:rPr>
        <w:t xml:space="preserve"> Court of Appeals for the Eighth Circuit </w:t>
      </w:r>
    </w:p>
    <w:p w:rsidR="00032A5B" w:rsidRDefault="00032A5B" w:rsidP="00032A5B">
      <w:pPr>
        <w:pStyle w:val="NormalWeb"/>
        <w:jc w:val="center"/>
        <w:rPr>
          <w:sz w:val="20"/>
          <w:szCs w:val="20"/>
        </w:rPr>
      </w:pPr>
      <w:r>
        <w:rPr>
          <w:sz w:val="20"/>
          <w:szCs w:val="20"/>
        </w:rPr>
        <w:t>United States Supreme Court</w:t>
      </w:r>
    </w:p>
    <w:p w:rsidR="00032A5B" w:rsidRDefault="00032A5B" w:rsidP="00032A5B">
      <w:pPr>
        <w:jc w:val="center"/>
      </w:pPr>
      <w:r>
        <w:t xml:space="preserve">523 </w:t>
      </w:r>
      <w:smartTag w:uri="urn:schemas-microsoft-com:office:smarttags" w:element="place">
        <w:smartTag w:uri="urn:schemas-microsoft-com:office:smarttags" w:element="country-region">
          <w:r>
            <w:t>U.S.</w:t>
          </w:r>
        </w:smartTag>
      </w:smartTag>
      <w:r>
        <w:t xml:space="preserve"> 57 (1998)</w:t>
      </w:r>
    </w:p>
    <w:p w:rsidR="00032A5B" w:rsidRDefault="00032A5B" w:rsidP="00032A5B">
      <w:pPr>
        <w:pStyle w:val="NormalWeb"/>
        <w:jc w:val="center"/>
        <w:rPr>
          <w:sz w:val="20"/>
        </w:rPr>
      </w:pPr>
      <w:r>
        <w:rPr>
          <w:sz w:val="20"/>
        </w:rPr>
        <w:t xml:space="preserve"> (</w:t>
      </w:r>
      <w:smartTag w:uri="urn:schemas-microsoft-com:office:smarttags" w:element="date">
        <w:smartTagPr>
          <w:attr w:name="Year" w:val="1998"/>
          <w:attr w:name="Day" w:val="3"/>
          <w:attr w:name="Month" w:val="3"/>
        </w:smartTagPr>
        <w:r>
          <w:rPr>
            <w:sz w:val="20"/>
          </w:rPr>
          <w:t>March 3, 1998</w:t>
        </w:r>
      </w:smartTag>
      <w:r>
        <w:rPr>
          <w:sz w:val="20"/>
        </w:rPr>
        <w:t>)</w:t>
      </w:r>
    </w:p>
    <w:p w:rsidR="00A81F86" w:rsidRDefault="00A81F86" w:rsidP="00032A5B">
      <w:pPr>
        <w:pStyle w:val="NormalWeb"/>
        <w:jc w:val="both"/>
        <w:rPr>
          <w:sz w:val="20"/>
        </w:rPr>
      </w:pPr>
    </w:p>
    <w:p w:rsidR="00032A5B" w:rsidRDefault="00032A5B" w:rsidP="00032A5B">
      <w:pPr>
        <w:pStyle w:val="NormalWeb"/>
        <w:jc w:val="both"/>
        <w:rPr>
          <w:sz w:val="20"/>
        </w:rPr>
      </w:pPr>
      <w:r>
        <w:rPr>
          <w:sz w:val="20"/>
        </w:rPr>
        <w:t xml:space="preserve">JUSTICE GINSBURG delivered the opinion of the Court. </w:t>
      </w:r>
    </w:p>
    <w:p w:rsidR="00032A5B" w:rsidRDefault="00032A5B" w:rsidP="00032A5B">
      <w:pPr>
        <w:pStyle w:val="NormalWeb"/>
        <w:jc w:val="both"/>
        <w:rPr>
          <w:sz w:val="20"/>
        </w:rPr>
      </w:pPr>
      <w:r>
        <w:rPr>
          <w:sz w:val="20"/>
        </w:rPr>
        <w:t xml:space="preserve">Section 523(a)(6) of the Bankruptcy Code provides that a debt "for willful and malicious injury by the debtor to another" is not dischargeable. 11 U.S.C. § 523(a)(6). The question before us is whether a debt arising from a medical malpractice judgment, attributable to negligent or reckless conduct, falls within this statutory exception. We hold that it does not and that the debt is dischargeable. </w:t>
      </w:r>
    </w:p>
    <w:p w:rsidR="00032A5B" w:rsidRDefault="00032A5B" w:rsidP="00032A5B">
      <w:pPr>
        <w:pStyle w:val="NormalWeb"/>
        <w:jc w:val="both"/>
        <w:rPr>
          <w:sz w:val="20"/>
        </w:rPr>
      </w:pPr>
      <w:r>
        <w:rPr>
          <w:sz w:val="20"/>
        </w:rPr>
        <w:t xml:space="preserve">I </w:t>
      </w:r>
    </w:p>
    <w:p w:rsidR="00032A5B" w:rsidRDefault="00032A5B" w:rsidP="00032A5B">
      <w:pPr>
        <w:pStyle w:val="NormalWeb"/>
        <w:jc w:val="both"/>
        <w:rPr>
          <w:sz w:val="20"/>
        </w:rPr>
      </w:pPr>
      <w:r>
        <w:rPr>
          <w:sz w:val="20"/>
        </w:rPr>
        <w:t xml:space="preserve">In January 1983, petitioner Margaret Kawaauhau sought treatment from respondent Dr. Paul Geiger for a foot injury. Geiger examined Kawaauhau and admitted her to the hospital to attend to the risk of infection resulting from the injury. Although Geiger knew that intravenous penicillin would have been more effective, he prescribed oral penicillin, explaining in his testimony that he understood his patient wished to minimize the cost of her treatment. </w:t>
      </w:r>
    </w:p>
    <w:p w:rsidR="00032A5B" w:rsidRDefault="00032A5B" w:rsidP="00032A5B">
      <w:pPr>
        <w:pStyle w:val="NormalWeb"/>
        <w:jc w:val="both"/>
        <w:rPr>
          <w:sz w:val="20"/>
        </w:rPr>
      </w:pPr>
      <w:r>
        <w:rPr>
          <w:sz w:val="20"/>
        </w:rPr>
        <w:t xml:space="preserve">Geiger then departed on a business trip, leaving Kawaauhau in the care of other physicians, who decided she should be transferred to an infectious disease specialist. When Geiger returned, he canceled the transfer and discontinued all antibiotics because he believed the infection had subsided. Kawaauhau's condition deteriorated over the next few days, requiring the amputation of her right leg below the knee. </w:t>
      </w:r>
    </w:p>
    <w:p w:rsidR="00032A5B" w:rsidRDefault="00032A5B" w:rsidP="00032A5B">
      <w:pPr>
        <w:pStyle w:val="NormalWeb"/>
        <w:jc w:val="both"/>
        <w:rPr>
          <w:sz w:val="20"/>
        </w:rPr>
      </w:pPr>
      <w:r>
        <w:rPr>
          <w:sz w:val="20"/>
        </w:rPr>
        <w:t>Kawaauhau, joined by her husband Solomon, sued Geiger for malpractice. After a trial, the jury found Geiger liable and awarded the Kawaauhaus approximately $355,000 in damages.</w:t>
      </w:r>
      <w:r>
        <w:rPr>
          <w:sz w:val="20"/>
          <w:vertAlign w:val="superscript"/>
        </w:rPr>
        <w:t xml:space="preserve">1 </w:t>
      </w:r>
      <w:r>
        <w:rPr>
          <w:sz w:val="20"/>
        </w:rPr>
        <w:t xml:space="preserve">Geiger, who carried no malpractice insurance, </w:t>
      </w:r>
      <w:r>
        <w:rPr>
          <w:sz w:val="20"/>
          <w:vertAlign w:val="superscript"/>
        </w:rPr>
        <w:t>2</w:t>
      </w:r>
      <w:r>
        <w:rPr>
          <w:sz w:val="20"/>
        </w:rPr>
        <w:t xml:space="preserve"> moved to </w:t>
      </w:r>
      <w:smartTag w:uri="urn:schemas-microsoft-com:office:smarttags" w:element="place">
        <w:smartTag w:uri="urn:schemas-microsoft-com:office:smarttags" w:element="State">
          <w:r>
            <w:rPr>
              <w:sz w:val="20"/>
            </w:rPr>
            <w:t>Missouri</w:t>
          </w:r>
        </w:smartTag>
      </w:smartTag>
      <w:r>
        <w:rPr>
          <w:sz w:val="20"/>
        </w:rPr>
        <w:t xml:space="preserve">, where his wages were garnished by the Kawaauhaus. Geiger then petitioned for bankruptcy. The Kawaauhaus requested the Bankruptcy Court to hold the malpractice judgment nondischargeable on the ground that it was a debt "for willful and malicious injury" excepted from discharge by 11 U.S.C. § 523(a)(6). The Bankruptcy Court concluded that Geiger's treatment fell far below the appropriate standard of care and therefore ranked as "willful and malicious." Accordingly, the Bankruptcy Court held the debt nondischargeable. . . .  In an unpublished order, the District Court affirmed. </w:t>
      </w:r>
    </w:p>
    <w:p w:rsidR="00032A5B" w:rsidRDefault="00032A5B" w:rsidP="00032A5B">
      <w:pPr>
        <w:pStyle w:val="NormalWeb"/>
        <w:jc w:val="both"/>
        <w:rPr>
          <w:sz w:val="20"/>
        </w:rPr>
      </w:pPr>
      <w:r>
        <w:rPr>
          <w:sz w:val="20"/>
        </w:rPr>
        <w:t xml:space="preserve">A three-judge panel of the Court of Appeals for the Eighth Circuit reversed, 93 F. 3d 443 (1996), and a divided en banc court adhered to the panel's position, 113 F. 3d 848 (1997) (en banc).   Section 523(a)(6)'s exemption from discharge, the en banc court held, is confined to debts "based on what the law has for generations called an intentional tort." </w:t>
      </w:r>
      <w:smartTag w:uri="urn:schemas-microsoft-com:office:smarttags" w:element="place">
        <w:smartTag w:uri="urn:schemas-microsoft-com:office:smarttags" w:element="State">
          <w:r>
            <w:rPr>
              <w:sz w:val="20"/>
            </w:rPr>
            <w:t>Id.</w:t>
          </w:r>
        </w:smartTag>
      </w:smartTag>
      <w:r>
        <w:rPr>
          <w:sz w:val="20"/>
        </w:rPr>
        <w:t xml:space="preserve"> , at 852.  On this view, a debt for malpractice, because it is based on conduct that is negligent or reckless, rather than intentional, remains dischargeable. </w:t>
      </w:r>
    </w:p>
    <w:p w:rsidR="00032A5B" w:rsidRDefault="00032A5B" w:rsidP="00032A5B">
      <w:pPr>
        <w:pStyle w:val="NormalWeb"/>
        <w:jc w:val="both"/>
        <w:rPr>
          <w:sz w:val="20"/>
        </w:rPr>
      </w:pPr>
      <w:r>
        <w:rPr>
          <w:sz w:val="20"/>
        </w:rPr>
        <w:t xml:space="preserve">The Eighth Circuit acknowledged that its interpretation of §523(a)(6) diverged from previous holdings of the Sixth and Tenth Circuits. . .  We granted certiorari to resolve this conflict, 521 </w:t>
      </w:r>
      <w:smartTag w:uri="urn:schemas-microsoft-com:office:smarttags" w:element="place">
        <w:smartTag w:uri="urn:schemas-microsoft-com:office:smarttags" w:element="country-region">
          <w:r>
            <w:rPr>
              <w:sz w:val="20"/>
            </w:rPr>
            <w:t>U. S.</w:t>
          </w:r>
        </w:smartTag>
      </w:smartTag>
      <w:r>
        <w:rPr>
          <w:sz w:val="20"/>
        </w:rPr>
        <w:t xml:space="preserve"> ___ (1997), and now affirm the Eighth Circuit's judgment. </w:t>
      </w:r>
    </w:p>
    <w:p w:rsidR="00032A5B" w:rsidRDefault="00032A5B" w:rsidP="00032A5B">
      <w:pPr>
        <w:pStyle w:val="NormalWeb"/>
        <w:jc w:val="both"/>
        <w:rPr>
          <w:sz w:val="20"/>
        </w:rPr>
      </w:pPr>
      <w:r>
        <w:rPr>
          <w:sz w:val="20"/>
        </w:rPr>
        <w:t xml:space="preserve">II </w:t>
      </w:r>
    </w:p>
    <w:p w:rsidR="00032A5B" w:rsidRDefault="00032A5B" w:rsidP="00032A5B">
      <w:pPr>
        <w:pStyle w:val="NormalWeb"/>
        <w:jc w:val="both"/>
        <w:rPr>
          <w:sz w:val="20"/>
        </w:rPr>
      </w:pPr>
      <w:r>
        <w:rPr>
          <w:sz w:val="20"/>
        </w:rPr>
        <w:t>Section 523(a)(6) of the Bankruptcy Code provides:</w:t>
      </w:r>
    </w:p>
    <w:p w:rsidR="00032A5B" w:rsidRDefault="00032A5B" w:rsidP="00032A5B">
      <w:pPr>
        <w:pStyle w:val="BodyTextIndent"/>
        <w:jc w:val="both"/>
      </w:pPr>
      <w:r>
        <w:t xml:space="preserve">"(a) A discharge under . . .  this title [i.e., the bankruptcy code] does not discharge an individual debtor from any debt. . . . . </w:t>
      </w:r>
    </w:p>
    <w:p w:rsidR="00032A5B" w:rsidRDefault="00032A5B" w:rsidP="00032A5B">
      <w:pPr>
        <w:ind w:left="720"/>
        <w:jc w:val="both"/>
      </w:pPr>
      <w:r>
        <w:t xml:space="preserve">"(6) for willful and malicious injury by the debtor to another entity or to the property of another entity." </w:t>
      </w:r>
    </w:p>
    <w:p w:rsidR="00032A5B" w:rsidRDefault="00032A5B" w:rsidP="00032A5B">
      <w:pPr>
        <w:pStyle w:val="BodyText"/>
        <w:jc w:val="both"/>
      </w:pPr>
    </w:p>
    <w:p w:rsidR="00032A5B" w:rsidRDefault="00032A5B" w:rsidP="00032A5B">
      <w:pPr>
        <w:pStyle w:val="BodyText"/>
        <w:jc w:val="both"/>
      </w:pPr>
      <w:r>
        <w:t xml:space="preserve">The Kawaauhaus urge that the malpractice award fits within this exception because Dr. Geiger intentionally rendered inadequate medical care to Margaret Kawaauhau that necessarily led to her injury. According to the Kawaauhaus, Geiger deliberately chose less effective treatment because he wanted to cut costs, all the while knowing that he was providing substandard care. Such conduct, the Kawaauhaus assert, meets the "willful and malicious" specification of §523(a)(6). </w:t>
      </w:r>
    </w:p>
    <w:p w:rsidR="00032A5B" w:rsidRDefault="00032A5B" w:rsidP="00032A5B">
      <w:pPr>
        <w:pStyle w:val="NormalWeb"/>
        <w:jc w:val="both"/>
        <w:rPr>
          <w:sz w:val="20"/>
        </w:rPr>
      </w:pPr>
      <w:r>
        <w:rPr>
          <w:sz w:val="20"/>
        </w:rPr>
        <w:t xml:space="preserve">We confront this pivotal question concerning the scope of the "willful and malicious injury" exception: Does §523(a)(6)'s compass cover acts, done intentionally, </w:t>
      </w:r>
      <w:r>
        <w:rPr>
          <w:sz w:val="20"/>
          <w:vertAlign w:val="superscript"/>
        </w:rPr>
        <w:t>3</w:t>
      </w:r>
      <w:r>
        <w:rPr>
          <w:sz w:val="20"/>
        </w:rPr>
        <w:t xml:space="preserve"> that cause injury (as the Kawaauhaus urge), or only acts done with the actual intent to cause injury (as the Eighth Circuit ruled)?  The words of the statute strongly support the Eighth Circuit's reading. </w:t>
      </w:r>
    </w:p>
    <w:p w:rsidR="00032A5B" w:rsidRDefault="00032A5B" w:rsidP="00032A5B">
      <w:pPr>
        <w:pStyle w:val="NormalWeb"/>
        <w:jc w:val="both"/>
        <w:rPr>
          <w:sz w:val="20"/>
        </w:rPr>
      </w:pPr>
      <w:r>
        <w:rPr>
          <w:sz w:val="20"/>
        </w:rPr>
        <w:t>The word "willful" in (a)(6) modifies the word "injury," indicating that nondischargeability takes a deliberate or intentional injury, not merely a deliberate or intentional act that leads to injury.  Had Congress meant to exempt debts resulting from unintentionally inflicted injuries, it might have described instead "willful acts that cause injury."  Or, Congress might have selected an additional word or words, i.e. , "reckless" or "negligent," to modify "injury." Moreover, as the Eighth Circuit observed, the (a)(6) formulation triggers in the lawyer's mind the category "intentional torts," as distinguished from negligent or reckless torts. Intentional torts generally require that the actor intend "the consequences of an act," not simply "the act itself."  Restatement (Second) of Torts §8A, (1964) (emphasis added).</w:t>
      </w:r>
    </w:p>
    <w:p w:rsidR="00032A5B" w:rsidRDefault="00032A5B" w:rsidP="00032A5B">
      <w:pPr>
        <w:pStyle w:val="NormalWeb"/>
        <w:jc w:val="both"/>
        <w:rPr>
          <w:sz w:val="20"/>
        </w:rPr>
      </w:pPr>
      <w:r>
        <w:rPr>
          <w:sz w:val="20"/>
        </w:rPr>
        <w:t xml:space="preserve">The Kawaauhaus' more encompassing interpretation could place within the excepted category a wide range of situations in which an act is intentional, but injury is unintended, i.e. , neither desired nor in fact anticipated by the debtor. Every traffic accident stemming from an initial intentional act-for example, intentionally rotating the wheel of an automobile to make a left-hand turn without first checking oncoming traffic-could fit the description.  A "knowing breach of contract" could also qualify. A construction so broad would be incompatible with the "well-known" guide that exceptions to discharge "should be confined to those plainly expressed." </w:t>
      </w:r>
    </w:p>
    <w:p w:rsidR="00032A5B" w:rsidRDefault="00032A5B" w:rsidP="00032A5B">
      <w:pPr>
        <w:pStyle w:val="NormalWeb"/>
        <w:jc w:val="both"/>
        <w:rPr>
          <w:sz w:val="20"/>
        </w:rPr>
      </w:pPr>
      <w:r>
        <w:rPr>
          <w:sz w:val="20"/>
        </w:rPr>
        <w:t>Furthermore, "we are hesitant to adopt an interpretation of a congressional enactment which renders superfluous another portion of that same law."   Reading §523(a)(6) as the Kawaauhaus urge would obviate the need for §523(a)(9), which specifically exempts debts "for death or personal injury caused by the debtor's operation of a motor vehicle if such operation was unlawful because the debtor was intoxicated from using alcohol, a drug, or another substance."</w:t>
      </w:r>
    </w:p>
    <w:p w:rsidR="00032A5B" w:rsidRDefault="00032A5B" w:rsidP="00032A5B">
      <w:pPr>
        <w:pStyle w:val="NormalWeb"/>
        <w:jc w:val="both"/>
        <w:rPr>
          <w:sz w:val="20"/>
        </w:rPr>
      </w:pPr>
      <w:r>
        <w:rPr>
          <w:sz w:val="20"/>
        </w:rPr>
        <w:t xml:space="preserve">The Kawaauhaus heavily rely on Tinker v. Colwell, 193 U.S. 473 (1904), which presented this question:  Does an award of damages for "criminal conversation" survive bankruptcy under the 1898 Bankruptcy Act's exception from discharge for judgments in civil actions for " 'willful and malicious injuries to the person or property of another' "? </w:t>
      </w:r>
      <w:smartTag w:uri="urn:schemas-microsoft-com:office:smarttags" w:element="place">
        <w:smartTag w:uri="urn:schemas-microsoft-com:office:smarttags" w:element="State">
          <w:r>
            <w:rPr>
              <w:sz w:val="20"/>
            </w:rPr>
            <w:t>Id.</w:t>
          </w:r>
        </w:smartTag>
      </w:smartTag>
      <w:r>
        <w:rPr>
          <w:sz w:val="20"/>
        </w:rPr>
        <w:t xml:space="preserve"> , at 480. The </w:t>
      </w:r>
      <w:smartTag w:uri="urn:schemas-microsoft-com:office:smarttags" w:element="Street">
        <w:smartTag w:uri="urn:schemas-microsoft-com:office:smarttags" w:element="address">
          <w:r>
            <w:rPr>
              <w:sz w:val="20"/>
            </w:rPr>
            <w:t>Tinker Court</w:t>
          </w:r>
        </w:smartTag>
      </w:smartTag>
      <w:r>
        <w:rPr>
          <w:sz w:val="20"/>
        </w:rPr>
        <w:t xml:space="preserve"> held such an award a nondischargeable debt. The Kawaauhaus feature certain statements in the Tinker opinion, in particular: "[An] act is willful . . . in the sense that it is intentional and voluntary" even if performed "without any particular malice," id. , at 485; an act that "necessarily causes injury and is done intentionally, may be said to be done willfully and maliciously, so as to come within the [bankruptcy discharge] exception," id. , at 487. . . .</w:t>
      </w:r>
    </w:p>
    <w:p w:rsidR="00032A5B" w:rsidRDefault="00032A5B" w:rsidP="00032A5B">
      <w:pPr>
        <w:pStyle w:val="NormalWeb"/>
        <w:jc w:val="both"/>
        <w:rPr>
          <w:sz w:val="20"/>
        </w:rPr>
      </w:pPr>
      <w:r>
        <w:rPr>
          <w:sz w:val="20"/>
        </w:rPr>
        <w:t xml:space="preserve">The exposition in the Tinker opinion is less than crystalline. Counterbalancing the portions the Kawaauhaus emphasize, the </w:t>
      </w:r>
      <w:smartTag w:uri="urn:schemas-microsoft-com:office:smarttags" w:element="Street">
        <w:smartTag w:uri="urn:schemas-microsoft-com:office:smarttags" w:element="address">
          <w:r>
            <w:rPr>
              <w:sz w:val="20"/>
            </w:rPr>
            <w:t>Tinker Court</w:t>
          </w:r>
        </w:smartTag>
      </w:smartTag>
      <w:r>
        <w:rPr>
          <w:sz w:val="20"/>
        </w:rPr>
        <w:t xml:space="preserve"> repeatedly observed that the tort in question qualified in the common law as trespassory. Indeed, it ranked as "trespass vi et armis ."  Criminal conversation, the Court noted, was an action akin to a master's "action of trespass and assault . . . for the battery of his servant," id. , at 482. Tinker thus placed criminal conversation solidly within the traditional intentional tort category, and we so confine its holding. That decision, we clarify, provides no warrant for departure from the current statutory instruction that, to be nondischargeable, the judgment debt must be "for willful and malicious injury ."</w:t>
      </w:r>
    </w:p>
    <w:p w:rsidR="00032A5B" w:rsidRDefault="00032A5B" w:rsidP="00032A5B">
      <w:pPr>
        <w:pStyle w:val="NormalWeb"/>
        <w:jc w:val="both"/>
        <w:rPr>
          <w:sz w:val="20"/>
        </w:rPr>
      </w:pPr>
      <w:r>
        <w:rPr>
          <w:sz w:val="20"/>
        </w:rPr>
        <w:t xml:space="preserve">Subsequent decisions of this Court are in accord with our construction. . . .  Negligent or reckless acts, the Court held, do not suffice to establish that a resulting injury is "wilful and malicious." </w:t>
      </w:r>
    </w:p>
    <w:p w:rsidR="00032A5B" w:rsidRDefault="00032A5B" w:rsidP="00032A5B">
      <w:pPr>
        <w:pStyle w:val="NormalWeb"/>
        <w:jc w:val="both"/>
        <w:rPr>
          <w:sz w:val="20"/>
        </w:rPr>
      </w:pPr>
      <w:r>
        <w:rPr>
          <w:sz w:val="20"/>
        </w:rPr>
        <w:t xml:space="preserve">Finally, the Kawaauhaus maintain that, as a policy matter, malpractice judgments should be excepted from discharge, at least when the debtor acted recklessly or carried no malpractice insurance.  Congress, of course, may so decide.  But unless and until Congress makes such a decision, we must follow the current direction §523(a)(6) provides. </w:t>
      </w:r>
    </w:p>
    <w:p w:rsidR="00032A5B" w:rsidRDefault="00032A5B" w:rsidP="00032A5B">
      <w:pPr>
        <w:pStyle w:val="NormalWeb"/>
        <w:jc w:val="both"/>
        <w:rPr>
          <w:sz w:val="20"/>
        </w:rPr>
      </w:pPr>
      <w:r>
        <w:rPr>
          <w:sz w:val="20"/>
        </w:rPr>
        <w:t xml:space="preserve">We hold that debts arising from recklessly or negligently inflicted injuries do not fall within the compass of §523(a)(6) [and hence, are dischargeable].  For the reasons stated, the judgment of the Court of Appeals for the Eighth Circuit is Affirmed. </w:t>
      </w:r>
    </w:p>
    <w:p w:rsidR="00032A5B" w:rsidRDefault="00032A5B" w:rsidP="00032A5B">
      <w:pPr>
        <w:pStyle w:val="NormalWeb"/>
        <w:jc w:val="both"/>
        <w:rPr>
          <w:sz w:val="20"/>
        </w:rPr>
      </w:pPr>
    </w:p>
    <w:p w:rsidR="00032A5B" w:rsidRDefault="00032A5B" w:rsidP="00032A5B">
      <w:pPr>
        <w:pStyle w:val="Heading3"/>
        <w:ind w:left="0" w:firstLine="0"/>
        <w:jc w:val="both"/>
        <w:rPr>
          <w:sz w:val="20"/>
        </w:rPr>
      </w:pPr>
    </w:p>
    <w:p w:rsidR="00032A5B" w:rsidRDefault="00032A5B" w:rsidP="00032A5B">
      <w:pPr>
        <w:pStyle w:val="Heading3"/>
        <w:ind w:left="0" w:firstLine="0"/>
        <w:jc w:val="both"/>
        <w:rPr>
          <w:sz w:val="20"/>
        </w:rPr>
      </w:pPr>
      <w:r>
        <w:rPr>
          <w:sz w:val="20"/>
        </w:rPr>
        <w:t>Footnotes:</w:t>
      </w:r>
    </w:p>
    <w:p w:rsidR="00032A5B" w:rsidRDefault="00032A5B" w:rsidP="00032A5B">
      <w:pPr>
        <w:pStyle w:val="NormalWeb"/>
        <w:jc w:val="both"/>
        <w:rPr>
          <w:sz w:val="20"/>
        </w:rPr>
      </w:pPr>
      <w:r>
        <w:rPr>
          <w:sz w:val="20"/>
        </w:rPr>
        <w:t>Footnote 1:</w:t>
      </w:r>
      <w:r>
        <w:rPr>
          <w:sz w:val="20"/>
        </w:rPr>
        <w:tab/>
        <w:t xml:space="preserve">The jury awarded Margaret Kawaauhau $203,040 in special damages and $99,000 in general damages. In re Geiger , 172 B. R. 916, 919 (Bkrtcy. Ct. ED Mo. 1994). In addition, the jury awarded Solomon Kawaauhau $18,000 in general damages for loss of consortium and $35,000 for emotional distress. Ibid. </w:t>
      </w:r>
    </w:p>
    <w:p w:rsidR="00032A5B" w:rsidRDefault="00032A5B" w:rsidP="00032A5B">
      <w:pPr>
        <w:pStyle w:val="NormalWeb"/>
        <w:jc w:val="both"/>
        <w:rPr>
          <w:sz w:val="20"/>
        </w:rPr>
      </w:pPr>
      <w:r>
        <w:rPr>
          <w:sz w:val="20"/>
        </w:rPr>
        <w:t>Footnote 2:</w:t>
      </w:r>
      <w:r>
        <w:rPr>
          <w:sz w:val="20"/>
        </w:rPr>
        <w:tab/>
        <w:t xml:space="preserve">Although the record is not clear on this point, it appears that Dr. Geiger was not required by state law to carry medical malpractice insurance. See Tr. of Oral </w:t>
      </w:r>
      <w:smartTag w:uri="urn:schemas-microsoft-com:office:smarttags" w:element="place">
        <w:smartTag w:uri="urn:schemas-microsoft-com:office:smarttags" w:element="country-region">
          <w:r>
            <w:rPr>
              <w:sz w:val="20"/>
            </w:rPr>
            <w:t>Arg.</w:t>
          </w:r>
        </w:smartTag>
      </w:smartTag>
      <w:r>
        <w:rPr>
          <w:sz w:val="20"/>
        </w:rPr>
        <w:t xml:space="preserve"> 19. </w:t>
      </w:r>
    </w:p>
    <w:p w:rsidR="00032A5B" w:rsidRDefault="00032A5B" w:rsidP="00032A5B">
      <w:pPr>
        <w:pStyle w:val="BodyText2"/>
      </w:pPr>
      <w:r>
        <w:t>Footnote 3:</w:t>
      </w:r>
      <w:r>
        <w:tab/>
        <w:t>The word "willful" is defined in Black's Law Dictionary as "voluntary" or "intentional." Black's Law Dictionary 1434 (5th ed. 1979). Consistently, legislative reports note that the word "willful" in §523(a)(6) means "deliberate or intentional."</w:t>
      </w:r>
    </w:p>
    <w:p w:rsidR="00032A5B" w:rsidRDefault="00032A5B" w:rsidP="00032A5B">
      <w:pPr>
        <w:pStyle w:val="NormalWeb"/>
        <w:jc w:val="center"/>
      </w:pPr>
    </w:p>
    <w:p w:rsidR="00032A5B" w:rsidRDefault="00032A5B" w:rsidP="00032A5B">
      <w:pPr>
        <w:pStyle w:val="BodyText2"/>
      </w:pPr>
    </w:p>
    <w:p w:rsidR="00032A5B" w:rsidRDefault="00032A5B" w:rsidP="00032A5B">
      <w:pPr>
        <w:pStyle w:val="PlainText"/>
        <w:jc w:val="center"/>
      </w:pPr>
      <w:r>
        <w:br w:type="page"/>
      </w:r>
    </w:p>
    <w:p w:rsidR="00032A5B" w:rsidRDefault="00032A5B" w:rsidP="00032A5B">
      <w:pPr>
        <w:pStyle w:val="PlainText"/>
        <w:jc w:val="center"/>
        <w:rPr>
          <w:rFonts w:ascii="Times New Roman" w:hAnsi="Times New Roman"/>
        </w:rPr>
      </w:pPr>
      <w:r>
        <w:rPr>
          <w:rFonts w:ascii="Times New Roman" w:hAnsi="Times New Roman"/>
        </w:rPr>
        <w:lastRenderedPageBreak/>
        <w:t>In re: JOHNS-MANVILLE CORP</w:t>
      </w:r>
      <w:r w:rsidR="00CB28AA">
        <w:rPr>
          <w:rFonts w:ascii="Times New Roman" w:hAnsi="Times New Roman"/>
        </w:rPr>
        <w:t>ORATION, et al., Debtors</w:t>
      </w:r>
      <w:r>
        <w:rPr>
          <w:rFonts w:ascii="Times New Roman" w:hAnsi="Times New Roman"/>
        </w:rPr>
        <w:cr/>
      </w:r>
    </w:p>
    <w:p w:rsidR="00CB28AA" w:rsidRDefault="00CB28AA" w:rsidP="00032A5B">
      <w:pPr>
        <w:pStyle w:val="PlainText"/>
        <w:jc w:val="center"/>
        <w:rPr>
          <w:rFonts w:ascii="Times New Roman" w:hAnsi="Times New Roman"/>
        </w:rPr>
      </w:pPr>
      <w:bookmarkStart w:id="60" w:name="_GoBack"/>
      <w:bookmarkEnd w:id="60"/>
    </w:p>
    <w:p w:rsidR="00032A5B" w:rsidRDefault="00032A5B" w:rsidP="00032A5B">
      <w:pPr>
        <w:pStyle w:val="PlainText"/>
        <w:jc w:val="center"/>
        <w:rPr>
          <w:rFonts w:ascii="Times New Roman" w:hAnsi="Times New Roman"/>
        </w:rPr>
      </w:pPr>
      <w:r>
        <w:rPr>
          <w:rFonts w:ascii="Times New Roman" w:hAnsi="Times New Roman"/>
        </w:rPr>
        <w:t>In Proceedings for</w:t>
      </w:r>
    </w:p>
    <w:p w:rsidR="00032A5B" w:rsidRDefault="00032A5B" w:rsidP="00032A5B">
      <w:pPr>
        <w:pStyle w:val="PlainText"/>
        <w:jc w:val="center"/>
        <w:rPr>
          <w:rFonts w:ascii="Times New Roman" w:hAnsi="Times New Roman"/>
        </w:rPr>
      </w:pPr>
      <w:r>
        <w:rPr>
          <w:rFonts w:ascii="Times New Roman" w:hAnsi="Times New Roman"/>
        </w:rPr>
        <w:t>Reorganization Under Chapter 11</w:t>
      </w:r>
    </w:p>
    <w:p w:rsidR="00032A5B" w:rsidRDefault="00032A5B" w:rsidP="00032A5B">
      <w:pPr>
        <w:pStyle w:val="PlainText"/>
        <w:jc w:val="center"/>
        <w:rPr>
          <w:rFonts w:ascii="Times New Roman" w:hAnsi="Times New Roman"/>
        </w:rPr>
      </w:pPr>
    </w:p>
    <w:p w:rsidR="00032A5B" w:rsidRDefault="00032A5B" w:rsidP="00032A5B">
      <w:pPr>
        <w:pStyle w:val="PlainText"/>
        <w:jc w:val="center"/>
        <w:rPr>
          <w:rFonts w:ascii="Times New Roman" w:hAnsi="Times New Roman"/>
        </w:rPr>
      </w:pPr>
      <w:smartTag w:uri="urn:schemas-microsoft-com:office:smarttags" w:element="place">
        <w:smartTag w:uri="urn:schemas-microsoft-com:office:smarttags" w:element="country-region">
          <w:r>
            <w:rPr>
              <w:rFonts w:ascii="Times New Roman" w:hAnsi="Times New Roman"/>
            </w:rPr>
            <w:t>United States</w:t>
          </w:r>
        </w:smartTag>
      </w:smartTag>
      <w:r>
        <w:rPr>
          <w:rFonts w:ascii="Times New Roman" w:hAnsi="Times New Roman"/>
        </w:rPr>
        <w:t xml:space="preserve"> Bankruptcy Court for the Southern District of New York</w:t>
      </w:r>
    </w:p>
    <w:p w:rsidR="00032A5B" w:rsidRDefault="00032A5B" w:rsidP="00032A5B">
      <w:pPr>
        <w:pStyle w:val="PlainText"/>
        <w:jc w:val="center"/>
        <w:rPr>
          <w:rFonts w:ascii="Times New Roman" w:hAnsi="Times New Roman"/>
        </w:rPr>
      </w:pPr>
    </w:p>
    <w:p w:rsidR="00032A5B" w:rsidRDefault="00032A5B" w:rsidP="00032A5B">
      <w:pPr>
        <w:pStyle w:val="PlainText"/>
        <w:jc w:val="center"/>
        <w:rPr>
          <w:rFonts w:ascii="Times New Roman" w:hAnsi="Times New Roman"/>
        </w:rPr>
      </w:pPr>
      <w:r>
        <w:rPr>
          <w:rFonts w:ascii="Times New Roman" w:hAnsi="Times New Roman"/>
        </w:rPr>
        <w:t>36 B.R. 727</w:t>
      </w:r>
    </w:p>
    <w:p w:rsidR="00032A5B" w:rsidRDefault="00032A5B" w:rsidP="00032A5B">
      <w:pPr>
        <w:pStyle w:val="PlainText"/>
        <w:jc w:val="center"/>
        <w:rPr>
          <w:rFonts w:ascii="Times New Roman" w:hAnsi="Times New Roman"/>
        </w:rPr>
      </w:pPr>
    </w:p>
    <w:p w:rsidR="00032A5B" w:rsidRDefault="00032A5B" w:rsidP="00032A5B">
      <w:pPr>
        <w:pStyle w:val="PlainText"/>
        <w:jc w:val="center"/>
        <w:rPr>
          <w:rFonts w:ascii="Times New Roman" w:hAnsi="Times New Roman"/>
        </w:rPr>
      </w:pPr>
    </w:p>
    <w:p w:rsidR="00032A5B" w:rsidRDefault="00032A5B" w:rsidP="00032A5B">
      <w:pPr>
        <w:pStyle w:val="PlainText"/>
        <w:jc w:val="center"/>
        <w:rPr>
          <w:rFonts w:ascii="Times New Roman" w:hAnsi="Times New Roman"/>
        </w:rPr>
      </w:pPr>
      <w:smartTag w:uri="urn:schemas-microsoft-com:office:smarttags" w:element="date">
        <w:smartTagPr>
          <w:attr w:name="Month" w:val="1"/>
          <w:attr w:name="Day" w:val="23"/>
          <w:attr w:name="Year" w:val="1984"/>
        </w:smartTagPr>
        <w:r>
          <w:rPr>
            <w:rFonts w:ascii="Times New Roman" w:hAnsi="Times New Roman"/>
          </w:rPr>
          <w:t>January 23, 1984</w:t>
        </w:r>
      </w:smartTag>
    </w:p>
    <w:p w:rsidR="00032A5B" w:rsidRDefault="00032A5B" w:rsidP="00032A5B">
      <w:pPr>
        <w:pStyle w:val="PlainText"/>
        <w:rPr>
          <w:rFonts w:ascii="Times New Roman" w:hAnsi="Times New Roman"/>
        </w:rPr>
      </w:pPr>
    </w:p>
    <w:p w:rsidR="00032A5B" w:rsidRDefault="00032A5B" w:rsidP="00032A5B">
      <w:pPr>
        <w:pStyle w:val="PlainText"/>
        <w:rPr>
          <w:rFonts w:ascii="Times New Roman" w:hAnsi="Times New Roman"/>
        </w:rPr>
      </w:pPr>
    </w:p>
    <w:p w:rsidR="00032A5B" w:rsidRDefault="00032A5B" w:rsidP="00032A5B">
      <w:pPr>
        <w:pStyle w:val="PlainText"/>
        <w:rPr>
          <w:rFonts w:ascii="Times New Roman" w:hAnsi="Times New Roman"/>
        </w:rPr>
      </w:pPr>
      <w:r>
        <w:rPr>
          <w:rFonts w:ascii="Times New Roman" w:hAnsi="Times New Roman"/>
        </w:rPr>
        <w:t xml:space="preserve">JUDGE:  Hon. </w:t>
      </w:r>
      <w:smartTag w:uri="urn:schemas-microsoft-com:office:smarttags" w:element="place">
        <w:smartTag w:uri="urn:schemas-microsoft-com:office:smarttags" w:element="City">
          <w:r>
            <w:rPr>
              <w:rFonts w:ascii="Times New Roman" w:hAnsi="Times New Roman"/>
            </w:rPr>
            <w:t>Burton</w:t>
          </w:r>
        </w:smartTag>
      </w:smartTag>
      <w:r>
        <w:rPr>
          <w:rFonts w:ascii="Times New Roman" w:hAnsi="Times New Roman"/>
        </w:rPr>
        <w:t xml:space="preserve"> R. Lifland, U.S. Bankruptcy Judge.</w:t>
      </w:r>
    </w:p>
    <w:p w:rsidR="00032A5B" w:rsidRDefault="00032A5B" w:rsidP="00032A5B">
      <w:pPr>
        <w:pStyle w:val="PlainText"/>
        <w:rPr>
          <w:rFonts w:ascii="Times New Roman" w:hAnsi="Times New Roman"/>
        </w:rPr>
      </w:pPr>
    </w:p>
    <w:p w:rsidR="00032A5B" w:rsidRDefault="00032A5B" w:rsidP="00032A5B">
      <w:pPr>
        <w:pStyle w:val="PlainText"/>
        <w:rPr>
          <w:rFonts w:ascii="Times New Roman" w:hAnsi="Times New Roman"/>
        </w:rPr>
      </w:pPr>
      <w:r>
        <w:rPr>
          <w:rFonts w:ascii="Times New Roman" w:hAnsi="Times New Roman"/>
        </w:rPr>
        <w:t>DECISION AND ORDER ON MOTIONS TO DISMISS MANVILLE'S CHAPTER 11 PETITION</w:t>
      </w:r>
    </w:p>
    <w:p w:rsidR="00032A5B" w:rsidRDefault="00032A5B" w:rsidP="00032A5B">
      <w:pPr>
        <w:pStyle w:val="PlainText"/>
        <w:rPr>
          <w:rFonts w:ascii="Times New Roman" w:hAnsi="Times New Roman"/>
        </w:rPr>
      </w:pPr>
    </w:p>
    <w:p w:rsidR="00032A5B" w:rsidRDefault="00032A5B" w:rsidP="00032A5B">
      <w:pPr>
        <w:pStyle w:val="PlainText"/>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I. Background and Issues Presented</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 xml:space="preserve">Whether an industrial enterprise in the </w:t>
      </w:r>
      <w:smartTag w:uri="urn:schemas-microsoft-com:office:smarttags" w:element="place">
        <w:smartTag w:uri="urn:schemas-microsoft-com:office:smarttags" w:element="country-region">
          <w:r>
            <w:rPr>
              <w:rFonts w:ascii="Times New Roman" w:hAnsi="Times New Roman"/>
            </w:rPr>
            <w:t>United States</w:t>
          </w:r>
        </w:smartTag>
      </w:smartTag>
      <w:r>
        <w:rPr>
          <w:rFonts w:ascii="Times New Roman" w:hAnsi="Times New Roman"/>
        </w:rPr>
        <w:t xml:space="preserve"> is highly successful is often gauged by its "membership" in what has come to be known as the "Fortune 500". Having attained this measure of financial achievement, Johns-Manville Corp. and its affiliated companies (collectively referred to as "Manville") were deemed a paradigm of success in corporate </w:t>
      </w:r>
      <w:smartTag w:uri="urn:schemas-microsoft-com:office:smarttags" w:element="place">
        <w:smartTag w:uri="urn:schemas-microsoft-com:office:smarttags" w:element="country-region">
          <w:r>
            <w:rPr>
              <w:rFonts w:ascii="Times New Roman" w:hAnsi="Times New Roman"/>
            </w:rPr>
            <w:t>America</w:t>
          </w:r>
        </w:smartTag>
      </w:smartTag>
      <w:r>
        <w:rPr>
          <w:rFonts w:ascii="Times New Roman" w:hAnsi="Times New Roman"/>
        </w:rPr>
        <w:t xml:space="preserve"> by the financial community. Thus, Manville's filing for protection under Chapter 11 of Title 11 of the United States Code ("the Code or the Bankruptcy Code") on </w:t>
      </w:r>
      <w:smartTag w:uri="urn:schemas-microsoft-com:office:smarttags" w:element="date">
        <w:smartTagPr>
          <w:attr w:name="Year" w:val="1982"/>
          <w:attr w:name="Day" w:val="26"/>
          <w:attr w:name="Month" w:val="8"/>
          <w:attr w:name="ls" w:val="trans"/>
        </w:smartTagPr>
        <w:r>
          <w:rPr>
            <w:rFonts w:ascii="Times New Roman" w:hAnsi="Times New Roman"/>
          </w:rPr>
          <w:t>August 26, 1982</w:t>
        </w:r>
      </w:smartTag>
      <w:r>
        <w:rPr>
          <w:rFonts w:ascii="Times New Roman" w:hAnsi="Times New Roman"/>
        </w:rPr>
        <w:t xml:space="preserve"> ("the filing date") was greeted with great surprise and consternation on the part of some of its creditors and other corporations that were being sued along with Manville for injuries caused by asbestos exposure. As discussed at length herein, Manville submits that the sole factor necessitating its filing is the mammoth problem of uncontrolled proliferation of asbestos health suits brought against it because of its substantial use for many years of products containing asbestos which injured those who came into contact with the dust of this lethal substance. According to Manville, this current problem of approximately 16,000 lawsuits pending as of the filing date is compounded by the crushing economic burden to be suffered by Manville over the next 20-30 years by the filing of an even more staggering number of suits by those who had been exposed but who will not manifest the asbestos-related diseases until some time during this future period ("the future asbestos claimants"). Indeed, approximately 6,000 asbestos health claims are estimated to have arisen in only the first 16 months since the filing date.  This burden is further compounded by the insurance industry's general disavowal of liability to Manville on policies written for this very purpose.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 xml:space="preserve">It is the propriety of the filing by Manville which is the subject of the instant decision.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Because none of these motions can go forward before the issuance of a decision regarding the threshold challenge to the Chapter 11 cases, the resolution of these motions has been suspended and they are currently scheduled for post decisional consideration. Manville has opposed all four dismissal motions and has been joined in opposition to them by the Unofficial Committee of School Creditors and the Equity Holders Committee. The Unsecured Creditors Committee has filed a brief "in response" to the motions which advocates denial of the motions.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 xml:space="preserve">Mindful that there is no insolvency requirement for Chapter 11 debtor status, the issue presented for determination by this Court is whether these allegations of error by the Asbestos Committee, even egregious error, in over-calculation of Manville's financial problems are relevant to establish the kind of bad faith in the sense of an abuse of this Court's jurisdiction which will vitiate the filing of a Chapter 11 petition. This opinion will thus elucidate whether the tomes of material submitted by the Asbestos Committee defeat the essential fact that as of </w:t>
      </w:r>
      <w:smartTag w:uri="urn:schemas-microsoft-com:office:smarttags" w:element="date">
        <w:smartTagPr>
          <w:attr w:name="Month" w:val="8"/>
          <w:attr w:name="Day" w:val="26"/>
          <w:attr w:name="Year" w:val="1982"/>
        </w:smartTagPr>
        <w:r>
          <w:rPr>
            <w:rFonts w:ascii="Times New Roman" w:hAnsi="Times New Roman"/>
          </w:rPr>
          <w:t>August 26, 1982</w:t>
        </w:r>
      </w:smartTag>
      <w:r>
        <w:rPr>
          <w:rFonts w:ascii="Times New Roman" w:hAnsi="Times New Roman"/>
        </w:rPr>
        <w:t xml:space="preserve"> Manville is a real company with real debt, real creditors and a compelling need to reorganize in order to meet these obligations. .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II. Discussion of Law</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A. General Eligibility Requirements for Chapter 11 Status</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lastRenderedPageBreak/>
        <w:t>The motions to dismiss Manville's petition filed by the Asbestos Committee, GAF, Whitman, and the Codefendants must be denied. Preliminarily, it must be stated that there is no question that Manville is eligible to be a debtor under the Code's statutory requirements. Section 109 of the Code contains its eligibility requirements and provides in pertinent part:</w:t>
      </w:r>
    </w:p>
    <w:p w:rsidR="00032A5B" w:rsidRDefault="00032A5B" w:rsidP="00032A5B">
      <w:pPr>
        <w:pStyle w:val="PlainText"/>
        <w:jc w:val="both"/>
        <w:rPr>
          <w:rFonts w:ascii="Times New Roman" w:hAnsi="Times New Roman"/>
        </w:rPr>
      </w:pPr>
    </w:p>
    <w:p w:rsidR="00032A5B" w:rsidRDefault="00032A5B" w:rsidP="00032A5B">
      <w:pPr>
        <w:pStyle w:val="PlainText"/>
        <w:ind w:left="720"/>
        <w:jc w:val="both"/>
        <w:rPr>
          <w:rFonts w:ascii="Times New Roman" w:hAnsi="Times New Roman"/>
        </w:rPr>
      </w:pPr>
      <w:r>
        <w:rPr>
          <w:rFonts w:ascii="Times New Roman" w:hAnsi="Times New Roman"/>
        </w:rPr>
        <w:t xml:space="preserve">     (a) Notwithstanding any other provision of this section, only a</w:t>
      </w:r>
    </w:p>
    <w:p w:rsidR="00032A5B" w:rsidRDefault="00032A5B" w:rsidP="00032A5B">
      <w:pPr>
        <w:pStyle w:val="PlainText"/>
        <w:ind w:left="720"/>
        <w:jc w:val="both"/>
        <w:rPr>
          <w:rFonts w:ascii="Times New Roman" w:hAnsi="Times New Roman"/>
        </w:rPr>
      </w:pPr>
      <w:r>
        <w:rPr>
          <w:rFonts w:ascii="Times New Roman" w:hAnsi="Times New Roman"/>
        </w:rPr>
        <w:t xml:space="preserve">     person that resides in the </w:t>
      </w:r>
      <w:smartTag w:uri="urn:schemas-microsoft-com:office:smarttags" w:element="place">
        <w:smartTag w:uri="urn:schemas-microsoft-com:office:smarttags" w:element="country-region">
          <w:r>
            <w:rPr>
              <w:rFonts w:ascii="Times New Roman" w:hAnsi="Times New Roman"/>
            </w:rPr>
            <w:t>United States</w:t>
          </w:r>
        </w:smartTag>
      </w:smartTag>
      <w:r>
        <w:rPr>
          <w:rFonts w:ascii="Times New Roman" w:hAnsi="Times New Roman"/>
        </w:rPr>
        <w:t>, or has a domicile, a</w:t>
      </w:r>
    </w:p>
    <w:p w:rsidR="00032A5B" w:rsidRDefault="00032A5B" w:rsidP="00032A5B">
      <w:pPr>
        <w:pStyle w:val="PlainText"/>
        <w:ind w:left="720"/>
        <w:jc w:val="both"/>
        <w:rPr>
          <w:rFonts w:ascii="Times New Roman" w:hAnsi="Times New Roman"/>
        </w:rPr>
      </w:pPr>
      <w:r>
        <w:rPr>
          <w:rFonts w:ascii="Times New Roman" w:hAnsi="Times New Roman"/>
        </w:rPr>
        <w:t xml:space="preserve">     place of business, or property in the </w:t>
      </w:r>
      <w:smartTag w:uri="urn:schemas-microsoft-com:office:smarttags" w:element="place">
        <w:smartTag w:uri="urn:schemas-microsoft-com:office:smarttags" w:element="country-region">
          <w:r>
            <w:rPr>
              <w:rFonts w:ascii="Times New Roman" w:hAnsi="Times New Roman"/>
            </w:rPr>
            <w:t>United States</w:t>
          </w:r>
        </w:smartTag>
      </w:smartTag>
      <w:r>
        <w:rPr>
          <w:rFonts w:ascii="Times New Roman" w:hAnsi="Times New Roman"/>
        </w:rPr>
        <w:t>, or a</w:t>
      </w:r>
    </w:p>
    <w:p w:rsidR="00032A5B" w:rsidRDefault="00032A5B" w:rsidP="00032A5B">
      <w:pPr>
        <w:pStyle w:val="PlainText"/>
        <w:ind w:left="720"/>
        <w:jc w:val="both"/>
        <w:rPr>
          <w:rFonts w:ascii="Times New Roman" w:hAnsi="Times New Roman"/>
        </w:rPr>
      </w:pPr>
      <w:r>
        <w:rPr>
          <w:rFonts w:ascii="Times New Roman" w:hAnsi="Times New Roman"/>
        </w:rPr>
        <w:t xml:space="preserve">     municipality, may be a debtor under this title</w:t>
      </w:r>
    </w:p>
    <w:p w:rsidR="00032A5B" w:rsidRDefault="00032A5B" w:rsidP="00032A5B">
      <w:pPr>
        <w:pStyle w:val="PlainText"/>
        <w:ind w:left="720"/>
        <w:jc w:val="both"/>
        <w:rPr>
          <w:rFonts w:ascii="Times New Roman" w:hAnsi="Times New Roman"/>
        </w:rPr>
      </w:pPr>
    </w:p>
    <w:p w:rsidR="00032A5B" w:rsidRDefault="00032A5B" w:rsidP="00032A5B">
      <w:pPr>
        <w:pStyle w:val="PlainText"/>
        <w:ind w:left="720"/>
        <w:jc w:val="both"/>
        <w:rPr>
          <w:rFonts w:ascii="Times New Roman" w:hAnsi="Times New Roman"/>
        </w:rPr>
      </w:pPr>
      <w:r>
        <w:rPr>
          <w:rFonts w:ascii="Times New Roman" w:hAnsi="Times New Roman"/>
        </w:rPr>
        <w:t xml:space="preserve">     (b) A person may be a debtor under Chapter 7 of this title only</w:t>
      </w:r>
    </w:p>
    <w:p w:rsidR="00032A5B" w:rsidRDefault="00032A5B" w:rsidP="00032A5B">
      <w:pPr>
        <w:pStyle w:val="PlainText"/>
        <w:ind w:left="720"/>
        <w:jc w:val="both"/>
        <w:rPr>
          <w:rFonts w:ascii="Times New Roman" w:hAnsi="Times New Roman"/>
        </w:rPr>
      </w:pPr>
      <w:r>
        <w:rPr>
          <w:rFonts w:ascii="Times New Roman" w:hAnsi="Times New Roman"/>
        </w:rPr>
        <w:t xml:space="preserve">     if such person is not --</w:t>
      </w:r>
    </w:p>
    <w:p w:rsidR="00032A5B" w:rsidRDefault="00032A5B" w:rsidP="00032A5B">
      <w:pPr>
        <w:pStyle w:val="PlainText"/>
        <w:ind w:left="720"/>
        <w:jc w:val="both"/>
        <w:rPr>
          <w:rFonts w:ascii="Times New Roman" w:hAnsi="Times New Roman"/>
        </w:rPr>
      </w:pPr>
    </w:p>
    <w:p w:rsidR="00032A5B" w:rsidRDefault="00032A5B" w:rsidP="00032A5B">
      <w:pPr>
        <w:pStyle w:val="PlainText"/>
        <w:ind w:left="720"/>
        <w:jc w:val="both"/>
        <w:rPr>
          <w:rFonts w:ascii="Times New Roman" w:hAnsi="Times New Roman"/>
        </w:rPr>
      </w:pPr>
      <w:r>
        <w:rPr>
          <w:rFonts w:ascii="Times New Roman" w:hAnsi="Times New Roman"/>
        </w:rPr>
        <w:t xml:space="preserve">          (1) a railroad;</w:t>
      </w:r>
    </w:p>
    <w:p w:rsidR="00032A5B" w:rsidRDefault="00032A5B" w:rsidP="00032A5B">
      <w:pPr>
        <w:pStyle w:val="PlainText"/>
        <w:ind w:left="720"/>
        <w:jc w:val="both"/>
        <w:rPr>
          <w:rFonts w:ascii="Times New Roman" w:hAnsi="Times New Roman"/>
        </w:rPr>
      </w:pPr>
    </w:p>
    <w:p w:rsidR="00032A5B" w:rsidRDefault="00032A5B" w:rsidP="00032A5B">
      <w:pPr>
        <w:pStyle w:val="PlainText"/>
        <w:ind w:left="720"/>
        <w:jc w:val="both"/>
        <w:rPr>
          <w:rFonts w:ascii="Times New Roman" w:hAnsi="Times New Roman"/>
        </w:rPr>
      </w:pPr>
      <w:r>
        <w:rPr>
          <w:rFonts w:ascii="Times New Roman" w:hAnsi="Times New Roman"/>
        </w:rPr>
        <w:t xml:space="preserve">          (2) a domestic insurance company, bank, savings bank,</w:t>
      </w:r>
    </w:p>
    <w:p w:rsidR="00032A5B" w:rsidRDefault="00032A5B" w:rsidP="00032A5B">
      <w:pPr>
        <w:pStyle w:val="PlainText"/>
        <w:ind w:left="720"/>
        <w:jc w:val="both"/>
        <w:rPr>
          <w:rFonts w:ascii="Times New Roman" w:hAnsi="Times New Roman"/>
        </w:rPr>
      </w:pPr>
      <w:r>
        <w:rPr>
          <w:rFonts w:ascii="Times New Roman" w:hAnsi="Times New Roman"/>
        </w:rPr>
        <w:t xml:space="preserve">          cooperative bank, savings and loan association,</w:t>
      </w:r>
    </w:p>
    <w:p w:rsidR="00032A5B" w:rsidRDefault="00032A5B" w:rsidP="00032A5B">
      <w:pPr>
        <w:pStyle w:val="PlainText"/>
        <w:ind w:left="720"/>
        <w:jc w:val="both"/>
        <w:rPr>
          <w:rFonts w:ascii="Times New Roman" w:hAnsi="Times New Roman"/>
        </w:rPr>
      </w:pPr>
      <w:r>
        <w:rPr>
          <w:rFonts w:ascii="Times New Roman" w:hAnsi="Times New Roman"/>
        </w:rPr>
        <w:t xml:space="preserve">          building and loan association, homestead association,</w:t>
      </w:r>
    </w:p>
    <w:p w:rsidR="00032A5B" w:rsidRDefault="00032A5B" w:rsidP="00032A5B">
      <w:pPr>
        <w:pStyle w:val="PlainText"/>
        <w:ind w:left="720"/>
        <w:jc w:val="both"/>
        <w:rPr>
          <w:rFonts w:ascii="Times New Roman" w:hAnsi="Times New Roman"/>
        </w:rPr>
      </w:pPr>
      <w:r>
        <w:rPr>
          <w:rFonts w:ascii="Times New Roman" w:hAnsi="Times New Roman"/>
        </w:rPr>
        <w:t xml:space="preserve">          or credit union; or</w:t>
      </w:r>
    </w:p>
    <w:p w:rsidR="00032A5B" w:rsidRDefault="00032A5B" w:rsidP="00032A5B">
      <w:pPr>
        <w:pStyle w:val="PlainText"/>
        <w:ind w:left="720"/>
        <w:jc w:val="both"/>
        <w:rPr>
          <w:rFonts w:ascii="Times New Roman" w:hAnsi="Times New Roman"/>
        </w:rPr>
      </w:pPr>
    </w:p>
    <w:p w:rsidR="00032A5B" w:rsidRDefault="00032A5B" w:rsidP="00032A5B">
      <w:pPr>
        <w:pStyle w:val="PlainText"/>
        <w:ind w:left="720"/>
        <w:jc w:val="both"/>
        <w:rPr>
          <w:rFonts w:ascii="Times New Roman" w:hAnsi="Times New Roman"/>
        </w:rPr>
      </w:pPr>
      <w:r>
        <w:rPr>
          <w:rFonts w:ascii="Times New Roman" w:hAnsi="Times New Roman"/>
        </w:rPr>
        <w:t xml:space="preserve">          (3) a foreign insurance company, bank, savings</w:t>
      </w:r>
    </w:p>
    <w:p w:rsidR="00032A5B" w:rsidRDefault="00032A5B" w:rsidP="00032A5B">
      <w:pPr>
        <w:pStyle w:val="PlainText"/>
        <w:ind w:left="720"/>
        <w:jc w:val="both"/>
        <w:rPr>
          <w:rFonts w:ascii="Times New Roman" w:hAnsi="Times New Roman"/>
        </w:rPr>
      </w:pPr>
      <w:r>
        <w:rPr>
          <w:rFonts w:ascii="Times New Roman" w:hAnsi="Times New Roman"/>
        </w:rPr>
        <w:t xml:space="preserve">          bank, cooperative bank, savings and loan association,</w:t>
      </w:r>
    </w:p>
    <w:p w:rsidR="00032A5B" w:rsidRDefault="00032A5B" w:rsidP="00032A5B">
      <w:pPr>
        <w:pStyle w:val="PlainText"/>
        <w:ind w:left="720"/>
        <w:jc w:val="both"/>
        <w:rPr>
          <w:rFonts w:ascii="Times New Roman" w:hAnsi="Times New Roman"/>
        </w:rPr>
      </w:pPr>
      <w:r>
        <w:rPr>
          <w:rFonts w:ascii="Times New Roman" w:hAnsi="Times New Roman"/>
        </w:rPr>
        <w:t xml:space="preserve">          building and loan association, homestead association,</w:t>
      </w:r>
    </w:p>
    <w:p w:rsidR="00032A5B" w:rsidRDefault="00032A5B" w:rsidP="00032A5B">
      <w:pPr>
        <w:pStyle w:val="PlainText"/>
        <w:ind w:left="720"/>
        <w:jc w:val="both"/>
        <w:rPr>
          <w:rFonts w:ascii="Times New Roman" w:hAnsi="Times New Roman"/>
        </w:rPr>
      </w:pPr>
      <w:r>
        <w:rPr>
          <w:rFonts w:ascii="Times New Roman" w:hAnsi="Times New Roman"/>
        </w:rPr>
        <w:t xml:space="preserve">          or credit union, engaged in such business in the United</w:t>
      </w:r>
    </w:p>
    <w:p w:rsidR="00032A5B" w:rsidRDefault="00032A5B" w:rsidP="00032A5B">
      <w:pPr>
        <w:pStyle w:val="PlainText"/>
        <w:ind w:left="720"/>
        <w:jc w:val="both"/>
        <w:rPr>
          <w:rFonts w:ascii="Times New Roman" w:hAnsi="Times New Roman"/>
        </w:rPr>
      </w:pPr>
      <w:r>
        <w:rPr>
          <w:rFonts w:ascii="Times New Roman" w:hAnsi="Times New Roman"/>
        </w:rPr>
        <w:t xml:space="preserve">          States.</w:t>
      </w:r>
    </w:p>
    <w:p w:rsidR="00032A5B" w:rsidRDefault="00032A5B" w:rsidP="00032A5B">
      <w:pPr>
        <w:pStyle w:val="PlainText"/>
        <w:ind w:left="720"/>
        <w:jc w:val="both"/>
        <w:rPr>
          <w:rFonts w:ascii="Times New Roman" w:hAnsi="Times New Roman"/>
        </w:rPr>
      </w:pPr>
    </w:p>
    <w:p w:rsidR="00032A5B" w:rsidRDefault="00032A5B" w:rsidP="00032A5B">
      <w:pPr>
        <w:pStyle w:val="PlainText"/>
        <w:ind w:left="720"/>
        <w:jc w:val="both"/>
        <w:rPr>
          <w:rFonts w:ascii="Times New Roman" w:hAnsi="Times New Roman"/>
        </w:rPr>
      </w:pPr>
      <w:r>
        <w:rPr>
          <w:rFonts w:ascii="Times New Roman" w:hAnsi="Times New Roman"/>
        </w:rPr>
        <w:t xml:space="preserve">          (d) Only a person that may be a debtor under Chapter 7</w:t>
      </w:r>
    </w:p>
    <w:p w:rsidR="00032A5B" w:rsidRDefault="00032A5B" w:rsidP="00032A5B">
      <w:pPr>
        <w:pStyle w:val="PlainText"/>
        <w:ind w:left="720"/>
        <w:jc w:val="both"/>
        <w:rPr>
          <w:rFonts w:ascii="Times New Roman" w:hAnsi="Times New Roman"/>
        </w:rPr>
      </w:pPr>
      <w:r>
        <w:rPr>
          <w:rFonts w:ascii="Times New Roman" w:hAnsi="Times New Roman"/>
        </w:rPr>
        <w:t xml:space="preserve">          of this title, except a stockbroker or commodity</w:t>
      </w:r>
    </w:p>
    <w:p w:rsidR="00032A5B" w:rsidRDefault="00032A5B" w:rsidP="00032A5B">
      <w:pPr>
        <w:pStyle w:val="PlainText"/>
        <w:ind w:left="720"/>
        <w:jc w:val="both"/>
        <w:rPr>
          <w:rFonts w:ascii="Times New Roman" w:hAnsi="Times New Roman"/>
        </w:rPr>
      </w:pPr>
      <w:r>
        <w:rPr>
          <w:rFonts w:ascii="Times New Roman" w:hAnsi="Times New Roman"/>
        </w:rPr>
        <w:t xml:space="preserve">          broker, and a railroad may be a debtor under Chapter 11</w:t>
      </w:r>
    </w:p>
    <w:p w:rsidR="00032A5B" w:rsidRDefault="00032A5B" w:rsidP="00032A5B">
      <w:pPr>
        <w:pStyle w:val="PlainText"/>
        <w:ind w:left="720"/>
        <w:jc w:val="both"/>
        <w:rPr>
          <w:rFonts w:ascii="Times New Roman" w:hAnsi="Times New Roman"/>
        </w:rPr>
      </w:pPr>
      <w:r>
        <w:rPr>
          <w:rFonts w:ascii="Times New Roman" w:hAnsi="Times New Roman"/>
        </w:rPr>
        <w:t xml:space="preserve">          of this title.</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Clearly, Manville meets the requirements . . under all chapters of the Code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Moreover, it should also be noted that neither Section 109 nor any other provision relating to voluntary  petitions by companies contains any insolvency requirement.  . . . This is in striking contrast to the requirement of insolvency contained in Code Section 303 with regard  to the commencement of involuntary cases. Code Section 303(h) provides in pertinent part:</w:t>
      </w:r>
    </w:p>
    <w:p w:rsidR="00032A5B" w:rsidRDefault="00032A5B" w:rsidP="00032A5B">
      <w:pPr>
        <w:pStyle w:val="PlainText"/>
        <w:jc w:val="both"/>
        <w:rPr>
          <w:rFonts w:ascii="Times New Roman" w:hAnsi="Times New Roman"/>
        </w:rPr>
      </w:pPr>
    </w:p>
    <w:p w:rsidR="00032A5B" w:rsidRDefault="00032A5B" w:rsidP="00032A5B">
      <w:pPr>
        <w:pStyle w:val="PlainText"/>
        <w:ind w:left="720"/>
        <w:jc w:val="both"/>
        <w:rPr>
          <w:rFonts w:ascii="Times New Roman" w:hAnsi="Times New Roman"/>
        </w:rPr>
      </w:pPr>
      <w:r>
        <w:rPr>
          <w:rFonts w:ascii="Times New Roman" w:hAnsi="Times New Roman"/>
        </w:rPr>
        <w:t xml:space="preserve">    [T]he court shall order relief against the debtor in an</w:t>
      </w:r>
    </w:p>
    <w:p w:rsidR="00032A5B" w:rsidRDefault="00032A5B" w:rsidP="00032A5B">
      <w:pPr>
        <w:pStyle w:val="PlainText"/>
        <w:ind w:left="720"/>
        <w:jc w:val="both"/>
        <w:rPr>
          <w:rFonts w:ascii="Times New Roman" w:hAnsi="Times New Roman"/>
        </w:rPr>
      </w:pPr>
      <w:r>
        <w:rPr>
          <w:rFonts w:ascii="Times New Roman" w:hAnsi="Times New Roman"/>
        </w:rPr>
        <w:t xml:space="preserve">     involuntary case . . . . only if -- (1) the debtor is generally not paying such debtor's debts as</w:t>
      </w:r>
    </w:p>
    <w:p w:rsidR="00032A5B" w:rsidRDefault="00032A5B" w:rsidP="00032A5B">
      <w:pPr>
        <w:pStyle w:val="PlainText"/>
        <w:ind w:left="720"/>
        <w:jc w:val="both"/>
        <w:rPr>
          <w:rFonts w:ascii="Times New Roman" w:hAnsi="Times New Roman"/>
        </w:rPr>
      </w:pPr>
      <w:r>
        <w:rPr>
          <w:rFonts w:ascii="Times New Roman" w:hAnsi="Times New Roman"/>
        </w:rPr>
        <w:t xml:space="preserve">     they become due .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In contrast, Code Section 301 provides:</w:t>
      </w:r>
    </w:p>
    <w:p w:rsidR="00032A5B" w:rsidRDefault="00032A5B" w:rsidP="00032A5B">
      <w:pPr>
        <w:pStyle w:val="PlainText"/>
        <w:jc w:val="both"/>
        <w:rPr>
          <w:rFonts w:ascii="Times New Roman" w:hAnsi="Times New Roman"/>
        </w:rPr>
      </w:pPr>
    </w:p>
    <w:p w:rsidR="00032A5B" w:rsidRDefault="00032A5B" w:rsidP="00032A5B">
      <w:pPr>
        <w:pStyle w:val="PlainText"/>
        <w:ind w:left="720"/>
        <w:jc w:val="both"/>
        <w:rPr>
          <w:rFonts w:ascii="Times New Roman" w:hAnsi="Times New Roman"/>
        </w:rPr>
      </w:pPr>
      <w:r>
        <w:rPr>
          <w:rFonts w:ascii="Times New Roman" w:hAnsi="Times New Roman"/>
        </w:rPr>
        <w:t xml:space="preserve">     A voluntary case under a chapter of this title is commenced by</w:t>
      </w:r>
    </w:p>
    <w:p w:rsidR="00032A5B" w:rsidRDefault="00032A5B" w:rsidP="00032A5B">
      <w:pPr>
        <w:pStyle w:val="PlainText"/>
        <w:ind w:left="720"/>
        <w:jc w:val="both"/>
        <w:rPr>
          <w:rFonts w:ascii="Times New Roman" w:hAnsi="Times New Roman"/>
        </w:rPr>
      </w:pPr>
      <w:r>
        <w:rPr>
          <w:rFonts w:ascii="Times New Roman" w:hAnsi="Times New Roman"/>
        </w:rPr>
        <w:t xml:space="preserve">     the filing with the bankruptcy court of a petition under such</w:t>
      </w:r>
    </w:p>
    <w:p w:rsidR="00032A5B" w:rsidRDefault="00032A5B" w:rsidP="00032A5B">
      <w:pPr>
        <w:pStyle w:val="PlainText"/>
        <w:ind w:left="720"/>
        <w:jc w:val="both"/>
        <w:rPr>
          <w:rFonts w:ascii="Times New Roman" w:hAnsi="Times New Roman"/>
        </w:rPr>
      </w:pPr>
      <w:r>
        <w:rPr>
          <w:rFonts w:ascii="Times New Roman" w:hAnsi="Times New Roman"/>
        </w:rPr>
        <w:t xml:space="preserve">     chapter by an entity that may be a debtor under such chapter. The</w:t>
      </w:r>
    </w:p>
    <w:p w:rsidR="00032A5B" w:rsidRDefault="00032A5B" w:rsidP="00032A5B">
      <w:pPr>
        <w:pStyle w:val="PlainText"/>
        <w:ind w:left="720"/>
        <w:jc w:val="both"/>
        <w:rPr>
          <w:rFonts w:ascii="Times New Roman" w:hAnsi="Times New Roman"/>
        </w:rPr>
      </w:pPr>
      <w:r>
        <w:rPr>
          <w:rFonts w:ascii="Times New Roman" w:hAnsi="Times New Roman"/>
        </w:rPr>
        <w:t xml:space="preserve">     commencement of a voluntary case under a chapter of this</w:t>
      </w:r>
    </w:p>
    <w:p w:rsidR="00032A5B" w:rsidRDefault="00032A5B" w:rsidP="00032A5B">
      <w:pPr>
        <w:pStyle w:val="PlainText"/>
        <w:ind w:left="720"/>
        <w:jc w:val="both"/>
        <w:rPr>
          <w:rFonts w:ascii="Times New Roman" w:hAnsi="Times New Roman"/>
        </w:rPr>
      </w:pPr>
      <w:r>
        <w:rPr>
          <w:rFonts w:ascii="Times New Roman" w:hAnsi="Times New Roman"/>
        </w:rPr>
        <w:t xml:space="preserve">     title constitutes an order for relief under such chapter.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Accordingly, it is abundantly clear that Manville has met all of the threshold eligibility requirements for filing a voluntary petition under the Code. This Court will  now turn to the issue of whether any of the movants have demonstrated sufficient "cause" pursuant to Code Section 1112(b) to warrant the dismissal of Manville's petition.</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C. The Motion to Dismiss Filed by The Asbestos Committee</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 xml:space="preserve">The motion to dismiss the petition filed by the Asbestos Committee must also be denied.  The Asbestos Committee premises its motion to dismiss the petition on what it contends is Manville's "bad faith" in filing for protection under Chapter 11. . . . And, in its papers in support of that motion to dismiss, the Asbestos Committee states: "These Chapter 11 cases were filed in </w:t>
      </w:r>
      <w:r>
        <w:rPr>
          <w:rFonts w:ascii="Times New Roman" w:hAnsi="Times New Roman"/>
        </w:rPr>
        <w:lastRenderedPageBreak/>
        <w:t>bad faith, are an abuse of the provisions of Chapter 11 and an imposition on this Court's jurisdiction and should therefore be dismissed without further delay".</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Because the allegations of the Asbestos Committee are not supported by concrete facts and thus do not rebut the essential fact that Manville is a real company with a substantial amount of real debt and real creditors clamoring to enforce this real debt, the Asbestos Committee has not sustained its burden of demonstrating sufficient fraud to vitiate the filing ab initio. On balance, the inferences to be drawn from submissions by both Manville and the Asbestos Committee seem to favor Manville.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Manville was advised by Robert O.F. Bixby of the Price Waterhouse accounting firm that it was necessary to book a $1.9 billion reserve for contingent liability according to the accrual principle in FASB-5.  On balance, Manville's decision to follow this advice was neither unreasonable, illogical, nor in any sense fraudulent. The Asbestos Committee has submitted no convincing evidence countering the necessity to book this reserve. . .  The debtor also has submitted, and this Court agrees, that whether a company should accrue for a contingent liability cannot be answered simply. It is a question to be considered within the professional judgment of the accountant. Thus, the burden of rebutting that judgment is great.</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Therefore, on balance, the Asbestos Committee has failed to sustain its burden of proof of fraud as to either the magnitude of the reserve to be booked or the necessity of so booking this reserve.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It is this Court's belief that there is no strict and absolute "good faith" predicate to filing a Chapter 11 petition.  This Court, along with others, has opined that the concept of good faith is an elastic one which can be read into the statute on a limited ad hoc basis.</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 xml:space="preserve">Clearly, none of the justifications for declaring an abuse of the jurisdiction of the bankruptcy court announced by these courts are present in the Manville case. In Manville, it is undeniable that there has been no sham or hoax perpetrated on the Court in that Manville is a real business with real creditors in pressing need of economic reorganization.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In short, there was justification for Manville to elect a course contemplating a viable court-supervised rehabilitation of the real debt owed by Manville to its real creditors. Manville's filing did not in the appropriate sense abuse the jurisdiction of this Court . . . .</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IV. Conclusion</w:t>
      </w:r>
    </w:p>
    <w:p w:rsidR="00032A5B" w:rsidRDefault="00032A5B" w:rsidP="00032A5B">
      <w:pPr>
        <w:pStyle w:val="PlainText"/>
        <w:jc w:val="both"/>
        <w:rPr>
          <w:rFonts w:ascii="Times New Roman" w:hAnsi="Times New Roman"/>
        </w:rPr>
      </w:pPr>
    </w:p>
    <w:p w:rsidR="00032A5B" w:rsidRDefault="00032A5B" w:rsidP="00032A5B">
      <w:pPr>
        <w:pStyle w:val="PlainText"/>
        <w:jc w:val="both"/>
        <w:rPr>
          <w:rFonts w:ascii="Times New Roman" w:hAnsi="Times New Roman"/>
        </w:rPr>
      </w:pPr>
      <w:r>
        <w:rPr>
          <w:rFonts w:ascii="Times New Roman" w:hAnsi="Times New Roman"/>
        </w:rPr>
        <w:t>For the reasons set forth above . . . , all four of the motions to dismiss the Manville petition are denied in their entirety.</w:t>
      </w:r>
    </w:p>
    <w:p w:rsidR="00032A5B" w:rsidRDefault="00032A5B" w:rsidP="00032A5B">
      <w:pPr>
        <w:pStyle w:val="PlainText"/>
        <w:jc w:val="both"/>
        <w:rPr>
          <w:rFonts w:ascii="Times New Roman" w:hAnsi="Times New Roman"/>
        </w:rPr>
      </w:pPr>
    </w:p>
    <w:p w:rsidR="00AB1EC0" w:rsidRPr="003B21B5" w:rsidRDefault="00032A5B" w:rsidP="003B21B5">
      <w:pPr>
        <w:pStyle w:val="PlainText"/>
        <w:jc w:val="both"/>
        <w:rPr>
          <w:rFonts w:ascii="Times New Roman" w:hAnsi="Times New Roman"/>
        </w:rPr>
      </w:pPr>
      <w:r>
        <w:rPr>
          <w:rFonts w:ascii="Times New Roman" w:hAnsi="Times New Roman"/>
        </w:rPr>
        <w:t>It is SO ORDERED.</w:t>
      </w:r>
    </w:p>
    <w:sectPr w:rsidR="00AB1EC0" w:rsidRPr="003B21B5" w:rsidSect="00D008C6">
      <w:pgSz w:w="12240" w:h="15840" w:code="1"/>
      <w:pgMar w:top="1152" w:right="1152" w:bottom="1152" w:left="1152" w:header="720" w:footer="720" w:gutter="0"/>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F26E1" w:rsidRDefault="00CF26E1" w:rsidP="00032A5B">
      <w:r>
        <w:separator/>
      </w:r>
    </w:p>
  </w:endnote>
  <w:endnote w:type="continuationSeparator" w:id="0">
    <w:p w:rsidR="00CF26E1" w:rsidRDefault="00CF26E1" w:rsidP="00032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90785049"/>
      <w:docPartObj>
        <w:docPartGallery w:val="Page Numbers (Bottom of Page)"/>
        <w:docPartUnique/>
      </w:docPartObj>
    </w:sdtPr>
    <w:sdtEndPr>
      <w:rPr>
        <w:noProof/>
      </w:rPr>
    </w:sdtEndPr>
    <w:sdtContent>
      <w:p w:rsidR="000C7ACA" w:rsidRDefault="000C7ACA">
        <w:pPr>
          <w:pStyle w:val="Footer"/>
          <w:jc w:val="center"/>
        </w:pPr>
        <w:r>
          <w:fldChar w:fldCharType="begin"/>
        </w:r>
        <w:r>
          <w:instrText xml:space="preserve"> PAGE   \* MERGEFORMAT </w:instrText>
        </w:r>
        <w:r>
          <w:fldChar w:fldCharType="separate"/>
        </w:r>
        <w:r w:rsidR="00CB28AA">
          <w:rPr>
            <w:noProof/>
          </w:rPr>
          <w:t>43</w:t>
        </w:r>
        <w:r>
          <w:rPr>
            <w:noProof/>
          </w:rPr>
          <w:fldChar w:fldCharType="end"/>
        </w:r>
      </w:p>
    </w:sdtContent>
  </w:sdt>
  <w:p w:rsidR="000C7ACA" w:rsidRDefault="000C7AC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ACA" w:rsidRDefault="000C7ACA">
    <w:pPr>
      <w:pStyle w:val="Footer"/>
      <w:jc w:val="center"/>
    </w:pPr>
  </w:p>
  <w:p w:rsidR="000C7ACA" w:rsidRDefault="000C7AC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56076509"/>
      <w:docPartObj>
        <w:docPartGallery w:val="Page Numbers (Bottom of Page)"/>
        <w:docPartUnique/>
      </w:docPartObj>
    </w:sdtPr>
    <w:sdtEndPr>
      <w:rPr>
        <w:noProof/>
      </w:rPr>
    </w:sdtEndPr>
    <w:sdtContent>
      <w:p w:rsidR="000C7ACA" w:rsidRDefault="000C7ACA">
        <w:pPr>
          <w:pStyle w:val="Footer"/>
          <w:jc w:val="center"/>
        </w:pPr>
        <w:r>
          <w:fldChar w:fldCharType="begin"/>
        </w:r>
        <w:r>
          <w:instrText xml:space="preserve"> PAGE   \* MERGEFORMAT </w:instrText>
        </w:r>
        <w:r>
          <w:fldChar w:fldCharType="separate"/>
        </w:r>
        <w:r w:rsidR="00CB28AA">
          <w:rPr>
            <w:noProof/>
          </w:rPr>
          <w:t>98</w:t>
        </w:r>
        <w:r>
          <w:rPr>
            <w:noProof/>
          </w:rPr>
          <w:fldChar w:fldCharType="end"/>
        </w:r>
      </w:p>
    </w:sdtContent>
  </w:sdt>
  <w:p w:rsidR="000C7ACA" w:rsidRDefault="000C7ACA">
    <w:pPr>
      <w:pStyle w:val="Footer"/>
    </w:pPr>
  </w:p>
  <w:p w:rsidR="000C7ACA" w:rsidRDefault="000C7ACA"/>
  <w:p w:rsidR="000C7ACA" w:rsidRDefault="000C7ACA"/>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ACA" w:rsidRDefault="000C7ACA" w:rsidP="0046013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7ACA" w:rsidRDefault="000C7ACA">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909658150"/>
      <w:docPartObj>
        <w:docPartGallery w:val="Page Numbers (Bottom of Page)"/>
        <w:docPartUnique/>
      </w:docPartObj>
    </w:sdtPr>
    <w:sdtEndPr>
      <w:rPr>
        <w:noProof/>
      </w:rPr>
    </w:sdtEndPr>
    <w:sdtContent>
      <w:p w:rsidR="000C7ACA" w:rsidRDefault="000C7ACA">
        <w:pPr>
          <w:pStyle w:val="Footer"/>
          <w:jc w:val="center"/>
        </w:pPr>
        <w:r>
          <w:fldChar w:fldCharType="begin"/>
        </w:r>
        <w:r>
          <w:instrText xml:space="preserve"> PAGE   \* MERGEFORMAT </w:instrText>
        </w:r>
        <w:r>
          <w:fldChar w:fldCharType="separate"/>
        </w:r>
        <w:r w:rsidR="00CB28AA">
          <w:rPr>
            <w:noProof/>
          </w:rPr>
          <w:t>194</w:t>
        </w:r>
        <w:r>
          <w:rPr>
            <w:noProof/>
          </w:rPr>
          <w:fldChar w:fldCharType="end"/>
        </w:r>
      </w:p>
    </w:sdtContent>
  </w:sdt>
  <w:p w:rsidR="000C7ACA" w:rsidRDefault="000C7ACA">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79910399"/>
      <w:docPartObj>
        <w:docPartGallery w:val="Page Numbers (Bottom of Page)"/>
        <w:docPartUnique/>
      </w:docPartObj>
    </w:sdtPr>
    <w:sdtEndPr>
      <w:rPr>
        <w:noProof/>
      </w:rPr>
    </w:sdtEndPr>
    <w:sdtContent>
      <w:p w:rsidR="000C7ACA" w:rsidRDefault="000C7ACA">
        <w:pPr>
          <w:pStyle w:val="Footer"/>
          <w:jc w:val="center"/>
        </w:pPr>
        <w:r>
          <w:fldChar w:fldCharType="begin"/>
        </w:r>
        <w:r>
          <w:instrText xml:space="preserve"> PAGE   \* MERGEFORMAT </w:instrText>
        </w:r>
        <w:r>
          <w:fldChar w:fldCharType="separate"/>
        </w:r>
        <w:r w:rsidR="00CB28AA">
          <w:rPr>
            <w:noProof/>
          </w:rPr>
          <w:t>188</w:t>
        </w:r>
        <w:r>
          <w:rPr>
            <w:noProof/>
          </w:rPr>
          <w:fldChar w:fldCharType="end"/>
        </w:r>
      </w:p>
    </w:sdtContent>
  </w:sdt>
  <w:p w:rsidR="000C7ACA" w:rsidRDefault="000C7AC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F26E1" w:rsidRDefault="00CF26E1" w:rsidP="00032A5B">
      <w:r>
        <w:separator/>
      </w:r>
    </w:p>
  </w:footnote>
  <w:footnote w:type="continuationSeparator" w:id="0">
    <w:p w:rsidR="00CF26E1" w:rsidRDefault="00CF26E1" w:rsidP="00032A5B">
      <w:r>
        <w:continuationSeparator/>
      </w:r>
    </w:p>
  </w:footnote>
  <w:footnote w:id="1">
    <w:p w:rsidR="000C7ACA" w:rsidRDefault="000C7ACA" w:rsidP="00032A5B">
      <w:pPr>
        <w:ind w:left="600"/>
      </w:pPr>
    </w:p>
    <w:p w:rsidR="000C7ACA" w:rsidRDefault="000C7ACA" w:rsidP="00032A5B">
      <w:pPr>
        <w:ind w:left="600"/>
      </w:pPr>
      <w:r>
        <w:rPr>
          <w:rStyle w:val="FootnoteReference"/>
        </w:rPr>
        <w:footnoteRef/>
      </w:r>
      <w:r>
        <w:t xml:space="preserve"> </w:t>
      </w:r>
      <w:r>
        <w:rPr>
          <w:sz w:val="16"/>
          <w:szCs w:val="16"/>
        </w:rPr>
        <w:t>The statute provides in full: "Every person who maliciously and willfully disturbs the peace or quiet of any neighborhood or person, by loud or unusual noise, or by tumultuous or offensive conduct, or threatening, traducing, quarreling, challenging to fight, or fighting, or who, on the public streets of any unincorporated town, or upon the public highways in such unincorporated town, run any horse race, either for a wager or for amusement, or fire any gun or pistol in such unincorporated town, or use any vulgar, profane, or indecent language within the presence or hearing of women or children, in a loud and boisterous manner, is guilty of a misdemeanor, and upon conviction by any Court of competent jurisdiction shall be punished by fine not exceeding two hundred dollars, or by imprisonment in the County Jail for not more than ninety days, or by both fine and imprisonment, or either, at the discretion of the Court."</w:t>
      </w:r>
    </w:p>
  </w:footnote>
  <w:footnote w:id="2">
    <w:p w:rsidR="000C7ACA" w:rsidRDefault="000C7ACA" w:rsidP="00032A5B">
      <w:pPr>
        <w:pStyle w:val="FootnoteText"/>
        <w:ind w:left="600"/>
      </w:pPr>
    </w:p>
    <w:p w:rsidR="000C7ACA" w:rsidRDefault="000C7ACA" w:rsidP="00032A5B">
      <w:pPr>
        <w:pStyle w:val="FootnoteText"/>
        <w:ind w:left="600"/>
      </w:pPr>
      <w:r>
        <w:rPr>
          <w:rStyle w:val="FootnoteReference"/>
        </w:rPr>
        <w:footnoteRef/>
      </w:r>
      <w:r>
        <w:t xml:space="preserve"> </w:t>
      </w:r>
      <w:r>
        <w:rPr>
          <w:sz w:val="16"/>
          <w:szCs w:val="16"/>
        </w:rPr>
        <w:t>It is illuminating to note what transpired when Cohen entered a courtroom in the building.  He removed his jacket and stood with it folded over his arm.  Meanwhile, a policeman sent the presiding judge a note suggesting that Cohen be held in contempt of court.  The judge declined to do so and Cohen was arrested by the officer only after he emerged from the courtroom.</w:t>
      </w:r>
    </w:p>
  </w:footnote>
  <w:footnote w:id="3">
    <w:p w:rsidR="000C7ACA" w:rsidRDefault="000C7ACA" w:rsidP="00032A5B">
      <w:pPr>
        <w:pStyle w:val="FootnoteText"/>
        <w:rPr>
          <w:rStyle w:val="tightinline"/>
        </w:rPr>
      </w:pPr>
      <w:r>
        <w:rPr>
          <w:rStyle w:val="FootnoteReference"/>
        </w:rPr>
        <w:footnoteRef/>
      </w:r>
      <w:r>
        <w:t xml:space="preserve"> 1 Cal. Civil Code § 1583 </w:t>
      </w:r>
      <w:r w:rsidRPr="00846B1E">
        <w:rPr>
          <w:rStyle w:val="tightinline"/>
        </w:rPr>
        <w:t>provides, "Consent is deemed to be fully communicated between the parties as soon as the party accepting a proposal has put his acceptance in the course of transmission to the proposer . . . ."</w:t>
      </w:r>
    </w:p>
    <w:p w:rsidR="000C7ACA" w:rsidRDefault="000C7ACA" w:rsidP="00032A5B">
      <w:pPr>
        <w:pStyle w:val="FootnoteText"/>
        <w:rPr>
          <w:rStyle w:val="tightinline"/>
        </w:rPr>
      </w:pPr>
    </w:p>
    <w:p w:rsidR="000C7ACA" w:rsidRDefault="000C7ACA" w:rsidP="00032A5B">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ACA" w:rsidRPr="00193364" w:rsidRDefault="000C7ACA" w:rsidP="000C7AC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ACA" w:rsidRPr="00D16387" w:rsidRDefault="000C7ACA" w:rsidP="003B21B5">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C7ACA" w:rsidRDefault="000C7ACA" w:rsidP="00460135">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0C7ACA" w:rsidRDefault="000C7AC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81A16"/>
    <w:multiLevelType w:val="singleLevel"/>
    <w:tmpl w:val="D6B45E9A"/>
    <w:lvl w:ilvl="0">
      <w:start w:val="1"/>
      <w:numFmt w:val="decimal"/>
      <w:lvlText w:val="%1."/>
      <w:lvlJc w:val="left"/>
      <w:pPr>
        <w:tabs>
          <w:tab w:val="num" w:pos="1440"/>
        </w:tabs>
        <w:ind w:left="1440" w:hanging="720"/>
      </w:pPr>
      <w:rPr>
        <w:rFonts w:hint="default"/>
      </w:rPr>
    </w:lvl>
  </w:abstractNum>
  <w:abstractNum w:abstractNumId="1" w15:restartNumberingAfterBreak="0">
    <w:nsid w:val="065C3700"/>
    <w:multiLevelType w:val="singleLevel"/>
    <w:tmpl w:val="658E9182"/>
    <w:lvl w:ilvl="0">
      <w:start w:val="1"/>
      <w:numFmt w:val="decimal"/>
      <w:lvlText w:val="%1."/>
      <w:lvlJc w:val="left"/>
      <w:pPr>
        <w:tabs>
          <w:tab w:val="num" w:pos="1440"/>
        </w:tabs>
        <w:ind w:left="1440" w:hanging="720"/>
      </w:pPr>
      <w:rPr>
        <w:rFonts w:hint="default"/>
      </w:rPr>
    </w:lvl>
  </w:abstractNum>
  <w:abstractNum w:abstractNumId="2" w15:restartNumberingAfterBreak="0">
    <w:nsid w:val="070A2EAA"/>
    <w:multiLevelType w:val="singleLevel"/>
    <w:tmpl w:val="C1D0E2CC"/>
    <w:lvl w:ilvl="0">
      <w:start w:val="1"/>
      <w:numFmt w:val="decimal"/>
      <w:lvlText w:val="%1."/>
      <w:lvlJc w:val="left"/>
      <w:pPr>
        <w:tabs>
          <w:tab w:val="num" w:pos="1440"/>
        </w:tabs>
        <w:ind w:left="1440" w:hanging="720"/>
      </w:pPr>
      <w:rPr>
        <w:rFonts w:hint="default"/>
      </w:rPr>
    </w:lvl>
  </w:abstractNum>
  <w:abstractNum w:abstractNumId="3" w15:restartNumberingAfterBreak="0">
    <w:nsid w:val="1D4C3474"/>
    <w:multiLevelType w:val="singleLevel"/>
    <w:tmpl w:val="04090013"/>
    <w:lvl w:ilvl="0">
      <w:start w:val="1"/>
      <w:numFmt w:val="upperRoman"/>
      <w:lvlText w:val="%1."/>
      <w:lvlJc w:val="left"/>
      <w:pPr>
        <w:tabs>
          <w:tab w:val="num" w:pos="720"/>
        </w:tabs>
        <w:ind w:left="720" w:hanging="720"/>
      </w:pPr>
      <w:rPr>
        <w:rFonts w:hint="default"/>
      </w:rPr>
    </w:lvl>
  </w:abstractNum>
  <w:abstractNum w:abstractNumId="4" w15:restartNumberingAfterBreak="0">
    <w:nsid w:val="26426AB3"/>
    <w:multiLevelType w:val="singleLevel"/>
    <w:tmpl w:val="04090013"/>
    <w:lvl w:ilvl="0">
      <w:start w:val="1"/>
      <w:numFmt w:val="upperRoman"/>
      <w:lvlText w:val="%1."/>
      <w:lvlJc w:val="left"/>
      <w:pPr>
        <w:tabs>
          <w:tab w:val="num" w:pos="720"/>
        </w:tabs>
        <w:ind w:left="720" w:hanging="720"/>
      </w:pPr>
      <w:rPr>
        <w:rFonts w:hint="default"/>
      </w:rPr>
    </w:lvl>
  </w:abstractNum>
  <w:abstractNum w:abstractNumId="5" w15:restartNumberingAfterBreak="0">
    <w:nsid w:val="355F3D5E"/>
    <w:multiLevelType w:val="singleLevel"/>
    <w:tmpl w:val="E188B5E8"/>
    <w:lvl w:ilvl="0">
      <w:start w:val="1"/>
      <w:numFmt w:val="decimal"/>
      <w:lvlText w:val="%1."/>
      <w:lvlJc w:val="left"/>
      <w:pPr>
        <w:tabs>
          <w:tab w:val="num" w:pos="1440"/>
        </w:tabs>
        <w:ind w:left="1440" w:hanging="720"/>
      </w:pPr>
      <w:rPr>
        <w:rFonts w:hint="default"/>
      </w:rPr>
    </w:lvl>
  </w:abstractNum>
  <w:abstractNum w:abstractNumId="6" w15:restartNumberingAfterBreak="0">
    <w:nsid w:val="4DAB4C2B"/>
    <w:multiLevelType w:val="singleLevel"/>
    <w:tmpl w:val="B9BACF08"/>
    <w:lvl w:ilvl="0">
      <w:start w:val="1"/>
      <w:numFmt w:val="decimal"/>
      <w:lvlText w:val="%1."/>
      <w:lvlJc w:val="left"/>
      <w:pPr>
        <w:tabs>
          <w:tab w:val="num" w:pos="1440"/>
        </w:tabs>
        <w:ind w:left="1440" w:hanging="720"/>
      </w:pPr>
      <w:rPr>
        <w:rFonts w:hint="default"/>
      </w:rPr>
    </w:lvl>
  </w:abstractNum>
  <w:abstractNum w:abstractNumId="7" w15:restartNumberingAfterBreak="0">
    <w:nsid w:val="5DCE0298"/>
    <w:multiLevelType w:val="singleLevel"/>
    <w:tmpl w:val="80B4F976"/>
    <w:lvl w:ilvl="0">
      <w:start w:val="3"/>
      <w:numFmt w:val="upperRoman"/>
      <w:pStyle w:val="Heading7"/>
      <w:lvlText w:val="%1."/>
      <w:lvlJc w:val="left"/>
      <w:pPr>
        <w:tabs>
          <w:tab w:val="num" w:pos="720"/>
        </w:tabs>
        <w:ind w:left="720" w:hanging="720"/>
      </w:pPr>
      <w:rPr>
        <w:rFonts w:hint="default"/>
        <w:b w:val="0"/>
      </w:rPr>
    </w:lvl>
  </w:abstractNum>
  <w:num w:numId="1">
    <w:abstractNumId w:val="3"/>
  </w:num>
  <w:num w:numId="2">
    <w:abstractNumId w:val="1"/>
  </w:num>
  <w:num w:numId="3">
    <w:abstractNumId w:val="6"/>
  </w:num>
  <w:num w:numId="4">
    <w:abstractNumId w:val="2"/>
  </w:num>
  <w:num w:numId="5">
    <w:abstractNumId w:val="5"/>
  </w:num>
  <w:num w:numId="6">
    <w:abstractNumId w:val="0"/>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77"/>
  <w:defaultTabStop w:val="720"/>
  <w:drawingGridHorizontalSpacing w:val="120"/>
  <w:drawingGridVerticalSpacing w:val="163"/>
  <w:displayHorizontalDrawingGridEvery w:val="0"/>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A5B"/>
    <w:rsid w:val="00015592"/>
    <w:rsid w:val="00024AE9"/>
    <w:rsid w:val="00032A5B"/>
    <w:rsid w:val="00037BEA"/>
    <w:rsid w:val="00064C4B"/>
    <w:rsid w:val="00084C23"/>
    <w:rsid w:val="000C7351"/>
    <w:rsid w:val="000C7ACA"/>
    <w:rsid w:val="0011516B"/>
    <w:rsid w:val="00147574"/>
    <w:rsid w:val="001524C6"/>
    <w:rsid w:val="00153777"/>
    <w:rsid w:val="001618FA"/>
    <w:rsid w:val="00170033"/>
    <w:rsid w:val="001A2D91"/>
    <w:rsid w:val="001A4727"/>
    <w:rsid w:val="00216A4B"/>
    <w:rsid w:val="002326D8"/>
    <w:rsid w:val="002519A3"/>
    <w:rsid w:val="002917EA"/>
    <w:rsid w:val="002A38DB"/>
    <w:rsid w:val="002A4AC5"/>
    <w:rsid w:val="002F203C"/>
    <w:rsid w:val="002F620C"/>
    <w:rsid w:val="003772F2"/>
    <w:rsid w:val="003A3780"/>
    <w:rsid w:val="003B21B5"/>
    <w:rsid w:val="003B5B1A"/>
    <w:rsid w:val="003B7C0A"/>
    <w:rsid w:val="003C139F"/>
    <w:rsid w:val="003C49B0"/>
    <w:rsid w:val="00447B32"/>
    <w:rsid w:val="00450FBF"/>
    <w:rsid w:val="00456EB1"/>
    <w:rsid w:val="00460135"/>
    <w:rsid w:val="004862C6"/>
    <w:rsid w:val="00496750"/>
    <w:rsid w:val="004C1B65"/>
    <w:rsid w:val="004F1190"/>
    <w:rsid w:val="0053583C"/>
    <w:rsid w:val="0059001E"/>
    <w:rsid w:val="00591CCF"/>
    <w:rsid w:val="00593FED"/>
    <w:rsid w:val="005A2CF8"/>
    <w:rsid w:val="005D12B9"/>
    <w:rsid w:val="00636732"/>
    <w:rsid w:val="00650D4E"/>
    <w:rsid w:val="0066385F"/>
    <w:rsid w:val="00671928"/>
    <w:rsid w:val="006B1C31"/>
    <w:rsid w:val="006D3EB3"/>
    <w:rsid w:val="006E30DE"/>
    <w:rsid w:val="00710943"/>
    <w:rsid w:val="00713FF4"/>
    <w:rsid w:val="007967ED"/>
    <w:rsid w:val="007D2CD5"/>
    <w:rsid w:val="00816162"/>
    <w:rsid w:val="00816EF7"/>
    <w:rsid w:val="0082064F"/>
    <w:rsid w:val="008314C7"/>
    <w:rsid w:val="00837995"/>
    <w:rsid w:val="00862647"/>
    <w:rsid w:val="00876777"/>
    <w:rsid w:val="008C51CD"/>
    <w:rsid w:val="008F2BC9"/>
    <w:rsid w:val="00912ED9"/>
    <w:rsid w:val="0099620F"/>
    <w:rsid w:val="00A05D98"/>
    <w:rsid w:val="00A4788F"/>
    <w:rsid w:val="00A60813"/>
    <w:rsid w:val="00A81F86"/>
    <w:rsid w:val="00A90C27"/>
    <w:rsid w:val="00AB1EC0"/>
    <w:rsid w:val="00AD68A8"/>
    <w:rsid w:val="00B2077C"/>
    <w:rsid w:val="00B31A23"/>
    <w:rsid w:val="00B3299C"/>
    <w:rsid w:val="00B6320B"/>
    <w:rsid w:val="00C079F6"/>
    <w:rsid w:val="00C23847"/>
    <w:rsid w:val="00C24E7D"/>
    <w:rsid w:val="00C47F96"/>
    <w:rsid w:val="00C8101F"/>
    <w:rsid w:val="00CB28AA"/>
    <w:rsid w:val="00CD06B9"/>
    <w:rsid w:val="00CE668B"/>
    <w:rsid w:val="00CF26E1"/>
    <w:rsid w:val="00D008C6"/>
    <w:rsid w:val="00D15026"/>
    <w:rsid w:val="00D8416C"/>
    <w:rsid w:val="00E1610E"/>
    <w:rsid w:val="00E375B5"/>
    <w:rsid w:val="00E46859"/>
    <w:rsid w:val="00E47022"/>
    <w:rsid w:val="00E50C18"/>
    <w:rsid w:val="00EA1706"/>
    <w:rsid w:val="00EB5ABF"/>
    <w:rsid w:val="00EC6EEB"/>
    <w:rsid w:val="00EE347A"/>
    <w:rsid w:val="00F103E5"/>
    <w:rsid w:val="00F16269"/>
    <w:rsid w:val="00F72564"/>
    <w:rsid w:val="00F966DE"/>
    <w:rsid w:val="00FC673B"/>
    <w:rsid w:val="00FF1EBD"/>
    <w:rsid w:val="00FF30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Street"/>
  <w:smartTagType w:namespaceuri="urn:schemas-microsoft-com:office:smarttags" w:name="address"/>
  <w:smartTagType w:namespaceuri="urn:schemas-microsoft-com:office:smarttags" w:name="date"/>
  <w:smartTagType w:namespaceuri="urn:schemas-microsoft-com:office:smarttags" w:name="State"/>
  <w:smartTagType w:namespaceuri="urn:schemas-microsoft-com:office:smarttags" w:name="PlaceType"/>
  <w:smartTagType w:namespaceuri="urn:schemas-microsoft-com:office:smarttags" w:name="City"/>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2049"/>
    <o:shapelayout v:ext="edit">
      <o:idmap v:ext="edit" data="1"/>
    </o:shapelayout>
  </w:shapeDefaults>
  <w:decimalSymbol w:val="."/>
  <w:listSeparator w:val=","/>
  <w15:chartTrackingRefBased/>
  <w15:docId w15:val="{DAFDD867-FF39-4303-B187-432871D7C1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32A5B"/>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032A5B"/>
    <w:pPr>
      <w:keepNext/>
      <w:jc w:val="center"/>
      <w:outlineLvl w:val="0"/>
    </w:pPr>
    <w:rPr>
      <w:sz w:val="24"/>
    </w:rPr>
  </w:style>
  <w:style w:type="paragraph" w:styleId="Heading2">
    <w:name w:val="heading 2"/>
    <w:basedOn w:val="Normal"/>
    <w:next w:val="Normal"/>
    <w:link w:val="Heading2Char"/>
    <w:qFormat/>
    <w:rsid w:val="00032A5B"/>
    <w:pPr>
      <w:keepNext/>
      <w:jc w:val="center"/>
      <w:outlineLvl w:val="1"/>
    </w:pPr>
    <w:rPr>
      <w:sz w:val="24"/>
      <w:u w:val="single"/>
    </w:rPr>
  </w:style>
  <w:style w:type="paragraph" w:styleId="Heading3">
    <w:name w:val="heading 3"/>
    <w:basedOn w:val="Normal"/>
    <w:next w:val="Normal"/>
    <w:link w:val="Heading3Char"/>
    <w:qFormat/>
    <w:rsid w:val="00032A5B"/>
    <w:pPr>
      <w:keepNext/>
      <w:ind w:left="720" w:firstLine="720"/>
      <w:outlineLvl w:val="2"/>
    </w:pPr>
    <w:rPr>
      <w:sz w:val="24"/>
    </w:rPr>
  </w:style>
  <w:style w:type="paragraph" w:styleId="Heading4">
    <w:name w:val="heading 4"/>
    <w:basedOn w:val="Normal"/>
    <w:next w:val="Normal"/>
    <w:link w:val="Heading4Char"/>
    <w:qFormat/>
    <w:rsid w:val="00032A5B"/>
    <w:pPr>
      <w:keepNext/>
      <w:ind w:left="1440"/>
      <w:outlineLvl w:val="3"/>
    </w:pPr>
    <w:rPr>
      <w:sz w:val="24"/>
    </w:rPr>
  </w:style>
  <w:style w:type="paragraph" w:styleId="Heading5">
    <w:name w:val="heading 5"/>
    <w:basedOn w:val="Normal"/>
    <w:next w:val="Normal"/>
    <w:link w:val="Heading5Char"/>
    <w:qFormat/>
    <w:rsid w:val="00032A5B"/>
    <w:pPr>
      <w:keepNext/>
      <w:jc w:val="both"/>
      <w:outlineLvl w:val="4"/>
    </w:pPr>
    <w:rPr>
      <w:sz w:val="28"/>
    </w:rPr>
  </w:style>
  <w:style w:type="paragraph" w:styleId="Heading6">
    <w:name w:val="heading 6"/>
    <w:basedOn w:val="Normal"/>
    <w:next w:val="Normal"/>
    <w:link w:val="Heading6Char"/>
    <w:qFormat/>
    <w:rsid w:val="00032A5B"/>
    <w:pPr>
      <w:keepNext/>
      <w:outlineLvl w:val="5"/>
    </w:pPr>
    <w:rPr>
      <w:sz w:val="24"/>
    </w:rPr>
  </w:style>
  <w:style w:type="paragraph" w:styleId="Heading7">
    <w:name w:val="heading 7"/>
    <w:basedOn w:val="Normal"/>
    <w:next w:val="Normal"/>
    <w:link w:val="Heading7Char"/>
    <w:qFormat/>
    <w:rsid w:val="00032A5B"/>
    <w:pPr>
      <w:keepNext/>
      <w:numPr>
        <w:numId w:val="8"/>
      </w:numPr>
      <w:jc w:val="both"/>
      <w:outlineLvl w:val="6"/>
    </w:pPr>
    <w:rPr>
      <w:sz w:val="28"/>
    </w:rPr>
  </w:style>
  <w:style w:type="paragraph" w:styleId="Heading8">
    <w:name w:val="heading 8"/>
    <w:basedOn w:val="Normal"/>
    <w:next w:val="Normal"/>
    <w:link w:val="Heading8Char"/>
    <w:qFormat/>
    <w:rsid w:val="00032A5B"/>
    <w:pPr>
      <w:keepNext/>
      <w:ind w:left="720" w:firstLine="720"/>
      <w:outlineLvl w:val="7"/>
    </w:pPr>
    <w:rPr>
      <w:b/>
      <w:b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2A5B"/>
    <w:rPr>
      <w:rFonts w:ascii="Times New Roman" w:eastAsia="Times New Roman" w:hAnsi="Times New Roman" w:cs="Times New Roman"/>
      <w:sz w:val="24"/>
      <w:szCs w:val="20"/>
    </w:rPr>
  </w:style>
  <w:style w:type="character" w:customStyle="1" w:styleId="Heading2Char">
    <w:name w:val="Heading 2 Char"/>
    <w:basedOn w:val="DefaultParagraphFont"/>
    <w:link w:val="Heading2"/>
    <w:rsid w:val="00032A5B"/>
    <w:rPr>
      <w:rFonts w:ascii="Times New Roman" w:eastAsia="Times New Roman" w:hAnsi="Times New Roman" w:cs="Times New Roman"/>
      <w:sz w:val="24"/>
      <w:szCs w:val="20"/>
      <w:u w:val="single"/>
    </w:rPr>
  </w:style>
  <w:style w:type="character" w:customStyle="1" w:styleId="Heading3Char">
    <w:name w:val="Heading 3 Char"/>
    <w:basedOn w:val="DefaultParagraphFont"/>
    <w:link w:val="Heading3"/>
    <w:rsid w:val="00032A5B"/>
    <w:rPr>
      <w:rFonts w:ascii="Times New Roman" w:eastAsia="Times New Roman" w:hAnsi="Times New Roman" w:cs="Times New Roman"/>
      <w:sz w:val="24"/>
      <w:szCs w:val="20"/>
    </w:rPr>
  </w:style>
  <w:style w:type="character" w:customStyle="1" w:styleId="Heading4Char">
    <w:name w:val="Heading 4 Char"/>
    <w:basedOn w:val="DefaultParagraphFont"/>
    <w:link w:val="Heading4"/>
    <w:rsid w:val="00032A5B"/>
    <w:rPr>
      <w:rFonts w:ascii="Times New Roman" w:eastAsia="Times New Roman" w:hAnsi="Times New Roman" w:cs="Times New Roman"/>
      <w:sz w:val="24"/>
      <w:szCs w:val="20"/>
    </w:rPr>
  </w:style>
  <w:style w:type="character" w:customStyle="1" w:styleId="Heading5Char">
    <w:name w:val="Heading 5 Char"/>
    <w:basedOn w:val="DefaultParagraphFont"/>
    <w:link w:val="Heading5"/>
    <w:rsid w:val="00032A5B"/>
    <w:rPr>
      <w:rFonts w:ascii="Times New Roman" w:eastAsia="Times New Roman" w:hAnsi="Times New Roman" w:cs="Times New Roman"/>
      <w:sz w:val="28"/>
      <w:szCs w:val="20"/>
    </w:rPr>
  </w:style>
  <w:style w:type="character" w:customStyle="1" w:styleId="Heading6Char">
    <w:name w:val="Heading 6 Char"/>
    <w:basedOn w:val="DefaultParagraphFont"/>
    <w:link w:val="Heading6"/>
    <w:rsid w:val="00032A5B"/>
    <w:rPr>
      <w:rFonts w:ascii="Times New Roman" w:eastAsia="Times New Roman" w:hAnsi="Times New Roman" w:cs="Times New Roman"/>
      <w:sz w:val="24"/>
      <w:szCs w:val="20"/>
    </w:rPr>
  </w:style>
  <w:style w:type="character" w:customStyle="1" w:styleId="Heading7Char">
    <w:name w:val="Heading 7 Char"/>
    <w:basedOn w:val="DefaultParagraphFont"/>
    <w:link w:val="Heading7"/>
    <w:rsid w:val="00032A5B"/>
    <w:rPr>
      <w:rFonts w:ascii="Times New Roman" w:eastAsia="Times New Roman" w:hAnsi="Times New Roman" w:cs="Times New Roman"/>
      <w:sz w:val="28"/>
      <w:szCs w:val="20"/>
    </w:rPr>
  </w:style>
  <w:style w:type="character" w:customStyle="1" w:styleId="Heading8Char">
    <w:name w:val="Heading 8 Char"/>
    <w:basedOn w:val="DefaultParagraphFont"/>
    <w:link w:val="Heading8"/>
    <w:rsid w:val="00032A5B"/>
    <w:rPr>
      <w:rFonts w:ascii="Times New Roman" w:eastAsia="Times New Roman" w:hAnsi="Times New Roman" w:cs="Times New Roman"/>
      <w:b/>
      <w:bCs/>
      <w:sz w:val="24"/>
      <w:szCs w:val="20"/>
    </w:rPr>
  </w:style>
  <w:style w:type="paragraph" w:styleId="EnvelopeReturn">
    <w:name w:val="envelope return"/>
    <w:basedOn w:val="Normal"/>
    <w:rsid w:val="00032A5B"/>
    <w:rPr>
      <w:rFonts w:ascii="Arial" w:hAnsi="Arial" w:cs="Arial"/>
    </w:rPr>
  </w:style>
  <w:style w:type="paragraph" w:styleId="EnvelopeAddress">
    <w:name w:val="envelope address"/>
    <w:basedOn w:val="Normal"/>
    <w:rsid w:val="00032A5B"/>
    <w:pPr>
      <w:framePr w:w="7920" w:h="1980" w:hRule="exact" w:hSpace="180" w:wrap="auto" w:hAnchor="page" w:xAlign="center" w:yAlign="bottom"/>
      <w:ind w:left="2880"/>
    </w:pPr>
    <w:rPr>
      <w:rFonts w:ascii="Arial" w:hAnsi="Arial" w:cs="Arial"/>
      <w:b/>
      <w:sz w:val="28"/>
    </w:rPr>
  </w:style>
  <w:style w:type="paragraph" w:customStyle="1" w:styleId="Style3">
    <w:name w:val="Style3"/>
    <w:basedOn w:val="Normal"/>
    <w:rsid w:val="00032A5B"/>
    <w:pPr>
      <w:overflowPunct w:val="0"/>
      <w:autoSpaceDE w:val="0"/>
      <w:autoSpaceDN w:val="0"/>
      <w:adjustRightInd w:val="0"/>
      <w:spacing w:after="240" w:line="480" w:lineRule="auto"/>
      <w:textAlignment w:val="baseline"/>
    </w:pPr>
  </w:style>
  <w:style w:type="paragraph" w:customStyle="1" w:styleId="Style1">
    <w:name w:val="Style1"/>
    <w:basedOn w:val="EndnoteText"/>
    <w:rsid w:val="00032A5B"/>
    <w:pPr>
      <w:spacing w:line="480" w:lineRule="auto"/>
      <w:ind w:firstLine="720"/>
    </w:pPr>
    <w:rPr>
      <w:rFonts w:eastAsia="MS Mincho"/>
      <w:sz w:val="24"/>
    </w:rPr>
  </w:style>
  <w:style w:type="paragraph" w:styleId="EndnoteText">
    <w:name w:val="endnote text"/>
    <w:basedOn w:val="Normal"/>
    <w:link w:val="EndnoteTextChar"/>
    <w:semiHidden/>
    <w:rsid w:val="00032A5B"/>
  </w:style>
  <w:style w:type="character" w:customStyle="1" w:styleId="EndnoteTextChar">
    <w:name w:val="Endnote Text Char"/>
    <w:basedOn w:val="DefaultParagraphFont"/>
    <w:link w:val="EndnoteText"/>
    <w:semiHidden/>
    <w:rsid w:val="00032A5B"/>
    <w:rPr>
      <w:rFonts w:ascii="Times New Roman" w:eastAsia="Times New Roman" w:hAnsi="Times New Roman" w:cs="Times New Roman"/>
      <w:sz w:val="20"/>
      <w:szCs w:val="20"/>
    </w:rPr>
  </w:style>
  <w:style w:type="paragraph" w:styleId="BodyText">
    <w:name w:val="Body Text"/>
    <w:basedOn w:val="Normal"/>
    <w:link w:val="BodyTextChar"/>
    <w:rsid w:val="00032A5B"/>
    <w:pPr>
      <w:jc w:val="center"/>
    </w:pPr>
  </w:style>
  <w:style w:type="character" w:customStyle="1" w:styleId="BodyTextChar">
    <w:name w:val="Body Text Char"/>
    <w:basedOn w:val="DefaultParagraphFont"/>
    <w:link w:val="BodyText"/>
    <w:rsid w:val="00032A5B"/>
    <w:rPr>
      <w:rFonts w:ascii="Times New Roman" w:eastAsia="Times New Roman" w:hAnsi="Times New Roman" w:cs="Times New Roman"/>
      <w:sz w:val="20"/>
      <w:szCs w:val="20"/>
    </w:rPr>
  </w:style>
  <w:style w:type="paragraph" w:styleId="PlainText">
    <w:name w:val="Plain Text"/>
    <w:basedOn w:val="Normal"/>
    <w:link w:val="PlainTextChar"/>
    <w:rsid w:val="00032A5B"/>
    <w:rPr>
      <w:rFonts w:ascii="Courier New" w:hAnsi="Courier New"/>
    </w:rPr>
  </w:style>
  <w:style w:type="character" w:customStyle="1" w:styleId="PlainTextChar">
    <w:name w:val="Plain Text Char"/>
    <w:basedOn w:val="DefaultParagraphFont"/>
    <w:link w:val="PlainText"/>
    <w:rsid w:val="00032A5B"/>
    <w:rPr>
      <w:rFonts w:ascii="Courier New" w:eastAsia="Times New Roman" w:hAnsi="Courier New" w:cs="Times New Roman"/>
      <w:sz w:val="20"/>
      <w:szCs w:val="20"/>
    </w:rPr>
  </w:style>
  <w:style w:type="paragraph" w:styleId="BodyTextIndent">
    <w:name w:val="Body Text Indent"/>
    <w:basedOn w:val="Normal"/>
    <w:link w:val="BodyTextIndentChar"/>
    <w:rsid w:val="00032A5B"/>
    <w:pPr>
      <w:ind w:left="720"/>
    </w:pPr>
  </w:style>
  <w:style w:type="character" w:customStyle="1" w:styleId="BodyTextIndentChar">
    <w:name w:val="Body Text Indent Char"/>
    <w:basedOn w:val="DefaultParagraphFont"/>
    <w:link w:val="BodyTextIndent"/>
    <w:rsid w:val="00032A5B"/>
    <w:rPr>
      <w:rFonts w:ascii="Times New Roman" w:eastAsia="Times New Roman" w:hAnsi="Times New Roman" w:cs="Times New Roman"/>
      <w:sz w:val="20"/>
      <w:szCs w:val="20"/>
    </w:rPr>
  </w:style>
  <w:style w:type="paragraph" w:styleId="Footer">
    <w:name w:val="footer"/>
    <w:basedOn w:val="Normal"/>
    <w:link w:val="FooterChar"/>
    <w:uiPriority w:val="99"/>
    <w:rsid w:val="00032A5B"/>
    <w:pPr>
      <w:tabs>
        <w:tab w:val="center" w:pos="4320"/>
        <w:tab w:val="right" w:pos="8640"/>
      </w:tabs>
    </w:pPr>
  </w:style>
  <w:style w:type="character" w:customStyle="1" w:styleId="FooterChar">
    <w:name w:val="Footer Char"/>
    <w:basedOn w:val="DefaultParagraphFont"/>
    <w:link w:val="Footer"/>
    <w:uiPriority w:val="99"/>
    <w:rsid w:val="00032A5B"/>
    <w:rPr>
      <w:rFonts w:ascii="Times New Roman" w:eastAsia="Times New Roman" w:hAnsi="Times New Roman" w:cs="Times New Roman"/>
      <w:sz w:val="20"/>
      <w:szCs w:val="20"/>
    </w:rPr>
  </w:style>
  <w:style w:type="character" w:styleId="PageNumber">
    <w:name w:val="page number"/>
    <w:basedOn w:val="DefaultParagraphFont"/>
    <w:rsid w:val="00032A5B"/>
  </w:style>
  <w:style w:type="paragraph" w:styleId="BodyText2">
    <w:name w:val="Body Text 2"/>
    <w:basedOn w:val="Normal"/>
    <w:link w:val="BodyText2Char"/>
    <w:rsid w:val="00032A5B"/>
    <w:pPr>
      <w:jc w:val="both"/>
    </w:pPr>
  </w:style>
  <w:style w:type="character" w:customStyle="1" w:styleId="BodyText2Char">
    <w:name w:val="Body Text 2 Char"/>
    <w:basedOn w:val="DefaultParagraphFont"/>
    <w:link w:val="BodyText2"/>
    <w:rsid w:val="00032A5B"/>
    <w:rPr>
      <w:rFonts w:ascii="Times New Roman" w:eastAsia="Times New Roman" w:hAnsi="Times New Roman" w:cs="Times New Roman"/>
      <w:sz w:val="20"/>
      <w:szCs w:val="20"/>
    </w:rPr>
  </w:style>
  <w:style w:type="paragraph" w:styleId="NormalWeb">
    <w:name w:val="Normal (Web)"/>
    <w:basedOn w:val="Normal"/>
    <w:rsid w:val="00032A5B"/>
    <w:pPr>
      <w:spacing w:before="100" w:beforeAutospacing="1" w:after="100" w:afterAutospacing="1"/>
    </w:pPr>
    <w:rPr>
      <w:color w:val="000000"/>
      <w:sz w:val="24"/>
      <w:szCs w:val="24"/>
    </w:rPr>
  </w:style>
  <w:style w:type="character" w:styleId="Hyperlink">
    <w:name w:val="Hyperlink"/>
    <w:basedOn w:val="DefaultParagraphFont"/>
    <w:rsid w:val="00032A5B"/>
    <w:rPr>
      <w:color w:val="FF0000"/>
      <w:u w:val="single"/>
    </w:rPr>
  </w:style>
  <w:style w:type="paragraph" w:styleId="Title">
    <w:name w:val="Title"/>
    <w:basedOn w:val="Normal"/>
    <w:link w:val="TitleChar"/>
    <w:qFormat/>
    <w:rsid w:val="00032A5B"/>
    <w:pPr>
      <w:suppressAutoHyphens/>
      <w:jc w:val="center"/>
    </w:pPr>
    <w:rPr>
      <w:b/>
      <w:sz w:val="36"/>
    </w:rPr>
  </w:style>
  <w:style w:type="character" w:customStyle="1" w:styleId="TitleChar">
    <w:name w:val="Title Char"/>
    <w:basedOn w:val="DefaultParagraphFont"/>
    <w:link w:val="Title"/>
    <w:rsid w:val="00032A5B"/>
    <w:rPr>
      <w:rFonts w:ascii="Times New Roman" w:eastAsia="Times New Roman" w:hAnsi="Times New Roman" w:cs="Times New Roman"/>
      <w:b/>
      <w:sz w:val="36"/>
      <w:szCs w:val="20"/>
    </w:rPr>
  </w:style>
  <w:style w:type="character" w:styleId="FollowedHyperlink">
    <w:name w:val="FollowedHyperlink"/>
    <w:basedOn w:val="DefaultParagraphFont"/>
    <w:rsid w:val="00032A5B"/>
    <w:rPr>
      <w:color w:val="800080"/>
      <w:u w:val="single"/>
    </w:rPr>
  </w:style>
  <w:style w:type="paragraph" w:styleId="FootnoteText">
    <w:name w:val="footnote text"/>
    <w:basedOn w:val="Normal"/>
    <w:link w:val="FootnoteTextChar"/>
    <w:uiPriority w:val="99"/>
    <w:semiHidden/>
    <w:rsid w:val="00032A5B"/>
  </w:style>
  <w:style w:type="character" w:customStyle="1" w:styleId="FootnoteTextChar">
    <w:name w:val="Footnote Text Char"/>
    <w:basedOn w:val="DefaultParagraphFont"/>
    <w:link w:val="FootnoteText"/>
    <w:uiPriority w:val="99"/>
    <w:semiHidden/>
    <w:rsid w:val="00032A5B"/>
    <w:rPr>
      <w:rFonts w:ascii="Times New Roman" w:eastAsia="Times New Roman" w:hAnsi="Times New Roman" w:cs="Times New Roman"/>
      <w:sz w:val="20"/>
      <w:szCs w:val="20"/>
    </w:rPr>
  </w:style>
  <w:style w:type="character" w:styleId="FootnoteReference">
    <w:name w:val="footnote reference"/>
    <w:basedOn w:val="DefaultParagraphFont"/>
    <w:uiPriority w:val="99"/>
    <w:semiHidden/>
    <w:rsid w:val="00032A5B"/>
    <w:rPr>
      <w:vertAlign w:val="superscript"/>
    </w:rPr>
  </w:style>
  <w:style w:type="character" w:styleId="Strong">
    <w:name w:val="Strong"/>
    <w:basedOn w:val="DefaultParagraphFont"/>
    <w:qFormat/>
    <w:rsid w:val="00032A5B"/>
    <w:rPr>
      <w:b/>
      <w:bCs/>
    </w:rPr>
  </w:style>
  <w:style w:type="character" w:styleId="Emphasis">
    <w:name w:val="Emphasis"/>
    <w:basedOn w:val="DefaultParagraphFont"/>
    <w:qFormat/>
    <w:rsid w:val="00032A5B"/>
    <w:rPr>
      <w:i/>
      <w:iCs/>
    </w:rPr>
  </w:style>
  <w:style w:type="paragraph" w:styleId="Header">
    <w:name w:val="header"/>
    <w:basedOn w:val="Normal"/>
    <w:link w:val="HeaderChar"/>
    <w:uiPriority w:val="99"/>
    <w:rsid w:val="00032A5B"/>
    <w:pPr>
      <w:tabs>
        <w:tab w:val="center" w:pos="4320"/>
        <w:tab w:val="right" w:pos="8640"/>
      </w:tabs>
    </w:pPr>
  </w:style>
  <w:style w:type="character" w:customStyle="1" w:styleId="HeaderChar">
    <w:name w:val="Header Char"/>
    <w:basedOn w:val="DefaultParagraphFont"/>
    <w:link w:val="Header"/>
    <w:uiPriority w:val="99"/>
    <w:rsid w:val="00032A5B"/>
    <w:rPr>
      <w:rFonts w:ascii="Times New Roman" w:eastAsia="Times New Roman" w:hAnsi="Times New Roman" w:cs="Times New Roman"/>
      <w:sz w:val="20"/>
      <w:szCs w:val="20"/>
    </w:rPr>
  </w:style>
  <w:style w:type="character" w:customStyle="1" w:styleId="verdana">
    <w:name w:val="verdana"/>
    <w:basedOn w:val="DefaultParagraphFont"/>
    <w:rsid w:val="00032A5B"/>
  </w:style>
  <w:style w:type="character" w:customStyle="1" w:styleId="hit">
    <w:name w:val="hit"/>
    <w:basedOn w:val="DefaultParagraphFont"/>
    <w:rsid w:val="00032A5B"/>
  </w:style>
  <w:style w:type="paragraph" w:customStyle="1" w:styleId="loose">
    <w:name w:val="loose"/>
    <w:basedOn w:val="Normal"/>
    <w:rsid w:val="00032A5B"/>
    <w:pPr>
      <w:spacing w:before="100" w:beforeAutospacing="1" w:after="100" w:afterAutospacing="1"/>
    </w:pPr>
    <w:rPr>
      <w:sz w:val="24"/>
      <w:szCs w:val="24"/>
    </w:rPr>
  </w:style>
  <w:style w:type="character" w:customStyle="1" w:styleId="italic">
    <w:name w:val="italic"/>
    <w:basedOn w:val="DefaultParagraphFont"/>
    <w:rsid w:val="00032A5B"/>
  </w:style>
  <w:style w:type="character" w:customStyle="1" w:styleId="crosslinkpopup">
    <w:name w:val="crosslinkpopup"/>
    <w:basedOn w:val="DefaultParagraphFont"/>
    <w:rsid w:val="00032A5B"/>
  </w:style>
  <w:style w:type="character" w:customStyle="1" w:styleId="tightinline">
    <w:name w:val="tightinline"/>
    <w:basedOn w:val="DefaultParagraphFont"/>
    <w:rsid w:val="00032A5B"/>
  </w:style>
  <w:style w:type="paragraph" w:customStyle="1" w:styleId="loose1">
    <w:name w:val="loose1"/>
    <w:basedOn w:val="Normal"/>
    <w:rsid w:val="00032A5B"/>
    <w:pPr>
      <w:spacing w:before="100" w:beforeAutospacing="1" w:after="100" w:afterAutospacing="1"/>
    </w:pPr>
    <w:rPr>
      <w:sz w:val="24"/>
      <w:szCs w:val="24"/>
    </w:rPr>
  </w:style>
  <w:style w:type="character" w:customStyle="1" w:styleId="bold">
    <w:name w:val="bold"/>
    <w:basedOn w:val="DefaultParagraphFont"/>
    <w:rsid w:val="00032A5B"/>
  </w:style>
  <w:style w:type="character" w:customStyle="1" w:styleId="ssl4">
    <w:name w:val="ss_l4"/>
    <w:basedOn w:val="DefaultParagraphFont"/>
    <w:rsid w:val="00032A5B"/>
  </w:style>
  <w:style w:type="character" w:customStyle="1" w:styleId="blue">
    <w:name w:val="blue"/>
    <w:basedOn w:val="DefaultParagraphFont"/>
    <w:rsid w:val="00032A5B"/>
  </w:style>
  <w:style w:type="character" w:customStyle="1" w:styleId="hit1">
    <w:name w:val="hit1"/>
    <w:basedOn w:val="DefaultParagraphFont"/>
    <w:rsid w:val="00032A5B"/>
    <w:rPr>
      <w:b/>
      <w:bCs/>
      <w:color w:val="CC0033"/>
    </w:rPr>
  </w:style>
  <w:style w:type="character" w:customStyle="1" w:styleId="verdana1">
    <w:name w:val="verdana1"/>
    <w:basedOn w:val="DefaultParagraphFont"/>
    <w:rsid w:val="00032A5B"/>
    <w:rPr>
      <w:rFonts w:ascii="Verdana" w:hAnsi="Verdana" w:hint="default"/>
    </w:rPr>
  </w:style>
  <w:style w:type="character" w:customStyle="1" w:styleId="italic1">
    <w:name w:val="italic1"/>
    <w:basedOn w:val="DefaultParagraphFont"/>
    <w:rsid w:val="00032A5B"/>
    <w:rPr>
      <w:i/>
      <w:iCs/>
    </w:rPr>
  </w:style>
  <w:style w:type="character" w:customStyle="1" w:styleId="ssl41">
    <w:name w:val="ss_l41"/>
    <w:basedOn w:val="DefaultParagraphFont"/>
    <w:rsid w:val="00032A5B"/>
    <w:rPr>
      <w:color w:val="000000"/>
      <w:sz w:val="16"/>
      <w:szCs w:val="16"/>
    </w:rPr>
  </w:style>
  <w:style w:type="paragraph" w:styleId="BalloonText">
    <w:name w:val="Balloon Text"/>
    <w:basedOn w:val="Normal"/>
    <w:link w:val="BalloonTextChar"/>
    <w:rsid w:val="00032A5B"/>
    <w:rPr>
      <w:rFonts w:ascii="Tahoma" w:hAnsi="Tahoma" w:cs="Tahoma"/>
      <w:sz w:val="16"/>
      <w:szCs w:val="16"/>
    </w:rPr>
  </w:style>
  <w:style w:type="character" w:customStyle="1" w:styleId="BalloonTextChar">
    <w:name w:val="Balloon Text Char"/>
    <w:basedOn w:val="DefaultParagraphFont"/>
    <w:link w:val="BalloonText"/>
    <w:rsid w:val="00032A5B"/>
    <w:rPr>
      <w:rFonts w:ascii="Tahoma" w:eastAsia="Times New Roma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caselaw.lp.findlaw.com/scripts/getcase.pl?court=US&amp;navby=case&amp;vol=304&amp;invol=64" TargetMode="External"/><Relationship Id="rId13" Type="http://schemas.openxmlformats.org/officeDocument/2006/relationships/footer" Target="footer2.xml"/><Relationship Id="rId18" Type="http://schemas.openxmlformats.org/officeDocument/2006/relationships/footer" Target="foot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footer" Target="footer4.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hyperlink" Target="http://proxy.nss.udel.edu:2062/us/lnacademic/mungo/lexseestat.do?bct=A&amp;risb=21_T4400401428&amp;homeCsi=6320&amp;A=0.40287713827718863&amp;urlEnc=ISO-8859-1&amp;&amp;citeString=304%20U.S.%2064&amp;countryCode=USA"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selaw.lp.findlaw.com/scripts/getcase.pl?court=US&amp;navby=case&amp;vol=304&amp;invol=64" TargetMode="External"/><Relationship Id="rId24" Type="http://schemas.openxmlformats.org/officeDocument/2006/relationships/hyperlink" Target="http://www.lexisnexis.com:80/us/lnacademic/mungo/lexseestat.do?bct=A&amp;risb=21_T5084882165&amp;homeCsi=3814&amp;A=0.7717951226918318&amp;urlEnc=ISO-8859-1&amp;&amp;citeString=466%20So.%202d%20107&amp;countryCode=USA" TargetMode="Externa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footer" Target="footer6.xml"/><Relationship Id="rId10" Type="http://schemas.openxmlformats.org/officeDocument/2006/relationships/hyperlink" Target="http://caselaw.lp.findlaw.com/scripts/getcase.pl?court=US&amp;navby=case&amp;vol=304&amp;invol=64"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caselaw.lp.findlaw.com/scripts/getcase.pl?court=US&amp;navby=case&amp;vol=304&amp;invol=64" TargetMode="External"/><Relationship Id="rId14" Type="http://schemas.openxmlformats.org/officeDocument/2006/relationships/header" Target="header1.xml"/><Relationship Id="rId22" Type="http://schemas.openxmlformats.org/officeDocument/2006/relationships/footer" Target="footer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9DBB4E-C98A-4F29-BC86-4D67E3B53D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TotalTime>
  <Pages>197</Pages>
  <Words>115320</Words>
  <Characters>615810</Characters>
  <Application>Microsoft Office Word</Application>
  <DocSecurity>0</DocSecurity>
  <Lines>30790</Lines>
  <Paragraphs>26111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705019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Sheldon D. Pollack</dc:creator>
  <cp:keywords/>
  <dc:description/>
  <cp:lastModifiedBy>Sheldon D. Pollack</cp:lastModifiedBy>
  <cp:revision>27</cp:revision>
  <dcterms:created xsi:type="dcterms:W3CDTF">2016-03-07T00:31:00Z</dcterms:created>
  <dcterms:modified xsi:type="dcterms:W3CDTF">2017-03-01T16:18:00Z</dcterms:modified>
</cp:coreProperties>
</file>